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323F96" w14:textId="037CFE03" w:rsidR="0032671E" w:rsidRPr="00DB3907" w:rsidRDefault="0032671E" w:rsidP="0032671E">
      <w:pPr>
        <w:pStyle w:val="Header"/>
        <w:tabs>
          <w:tab w:val="right" w:pos="9639"/>
        </w:tabs>
        <w:rPr>
          <w:rFonts w:cs="Courier New"/>
          <w:sz w:val="24"/>
          <w:szCs w:val="24"/>
          <w:lang w:val="de-DE"/>
        </w:rPr>
      </w:pPr>
      <w:r w:rsidRPr="00DB3907">
        <w:rPr>
          <w:rFonts w:cs="Courier New"/>
          <w:sz w:val="24"/>
          <w:szCs w:val="24"/>
          <w:lang w:val="de-DE"/>
        </w:rPr>
        <w:t>3GPP TSG-RAN WG4 #</w:t>
      </w:r>
      <w:r>
        <w:rPr>
          <w:rFonts w:cs="Courier New"/>
          <w:sz w:val="24"/>
          <w:szCs w:val="24"/>
          <w:lang w:val="de-DE"/>
        </w:rPr>
        <w:t>7</w:t>
      </w:r>
      <w:r w:rsidR="00BE7BB5">
        <w:rPr>
          <w:rFonts w:cs="Courier New"/>
          <w:sz w:val="24"/>
          <w:szCs w:val="24"/>
          <w:lang w:val="de-DE"/>
        </w:rPr>
        <w:t>6</w:t>
      </w:r>
      <w:r w:rsidRPr="00DB3907">
        <w:rPr>
          <w:rFonts w:cs="Courier New"/>
          <w:sz w:val="24"/>
          <w:szCs w:val="24"/>
          <w:lang w:val="de-DE"/>
        </w:rPr>
        <w:tab/>
        <w:t>R4-</w:t>
      </w:r>
      <w:r w:rsidRPr="00454C81">
        <w:rPr>
          <w:rFonts w:cs="Courier New"/>
          <w:sz w:val="24"/>
          <w:szCs w:val="24"/>
          <w:lang w:val="de-DE"/>
        </w:rPr>
        <w:t>15</w:t>
      </w:r>
      <w:r w:rsidR="006859A6">
        <w:rPr>
          <w:rFonts w:cs="Courier New"/>
          <w:sz w:val="24"/>
          <w:szCs w:val="24"/>
          <w:lang w:val="de-DE"/>
        </w:rPr>
        <w:t>4653</w:t>
      </w:r>
    </w:p>
    <w:p w14:paraId="24BE4D10" w14:textId="77777777" w:rsidR="0032671E" w:rsidRPr="00DB3907" w:rsidRDefault="00BE7BB5" w:rsidP="0032671E">
      <w:pPr>
        <w:pStyle w:val="Header"/>
        <w:tabs>
          <w:tab w:val="left" w:pos="6521"/>
        </w:tabs>
        <w:rPr>
          <w:rFonts w:cs="Courier New"/>
          <w:sz w:val="24"/>
          <w:szCs w:val="24"/>
        </w:rPr>
      </w:pPr>
      <w:r>
        <w:rPr>
          <w:rFonts w:cs="Courier New"/>
          <w:sz w:val="24"/>
          <w:szCs w:val="24"/>
        </w:rPr>
        <w:t>August</w:t>
      </w:r>
      <w:r w:rsidR="0032671E">
        <w:rPr>
          <w:rFonts w:cs="Courier New"/>
          <w:sz w:val="24"/>
          <w:szCs w:val="24"/>
        </w:rPr>
        <w:t xml:space="preserve"> 2</w:t>
      </w:r>
      <w:r>
        <w:rPr>
          <w:rFonts w:cs="Courier New"/>
          <w:sz w:val="24"/>
          <w:szCs w:val="24"/>
        </w:rPr>
        <w:t>4</w:t>
      </w:r>
      <w:r w:rsidR="0032671E">
        <w:rPr>
          <w:rFonts w:cs="Courier New"/>
          <w:sz w:val="24"/>
          <w:szCs w:val="24"/>
          <w:vertAlign w:val="superscript"/>
        </w:rPr>
        <w:t>th</w:t>
      </w:r>
      <w:r w:rsidR="0032671E" w:rsidRPr="00DB3907">
        <w:rPr>
          <w:rFonts w:cs="Courier New"/>
          <w:sz w:val="24"/>
          <w:szCs w:val="24"/>
          <w:vertAlign w:val="superscript"/>
        </w:rPr>
        <w:t xml:space="preserve"> </w:t>
      </w:r>
      <w:r w:rsidR="0032671E" w:rsidRPr="00DB3907">
        <w:rPr>
          <w:rFonts w:cs="Courier New"/>
          <w:sz w:val="24"/>
          <w:szCs w:val="24"/>
        </w:rPr>
        <w:t xml:space="preserve">– </w:t>
      </w:r>
      <w:r w:rsidR="0032671E">
        <w:rPr>
          <w:rFonts w:cs="Courier New"/>
          <w:sz w:val="24"/>
          <w:szCs w:val="24"/>
        </w:rPr>
        <w:t>2</w:t>
      </w:r>
      <w:r>
        <w:rPr>
          <w:rFonts w:cs="Courier New"/>
          <w:sz w:val="24"/>
          <w:szCs w:val="24"/>
        </w:rPr>
        <w:t>8</w:t>
      </w:r>
      <w:r w:rsidR="0032671E">
        <w:rPr>
          <w:rFonts w:cs="Courier New"/>
          <w:sz w:val="24"/>
          <w:szCs w:val="24"/>
          <w:vertAlign w:val="superscript"/>
        </w:rPr>
        <w:t>th</w:t>
      </w:r>
      <w:r w:rsidR="0032671E">
        <w:rPr>
          <w:rFonts w:cs="Courier New"/>
          <w:sz w:val="24"/>
          <w:szCs w:val="24"/>
        </w:rPr>
        <w:t>, 2015</w:t>
      </w:r>
    </w:p>
    <w:p w14:paraId="339F240C" w14:textId="77777777" w:rsidR="0032671E" w:rsidRPr="00DB3907" w:rsidRDefault="00BE7BB5" w:rsidP="0032671E">
      <w:pPr>
        <w:pStyle w:val="Header"/>
        <w:rPr>
          <w:rFonts w:cs="Courier New"/>
          <w:sz w:val="24"/>
          <w:szCs w:val="24"/>
        </w:rPr>
      </w:pPr>
      <w:r>
        <w:rPr>
          <w:rFonts w:cs="Courier New"/>
          <w:sz w:val="24"/>
          <w:szCs w:val="24"/>
        </w:rPr>
        <w:t>Bejing, China</w:t>
      </w:r>
    </w:p>
    <w:p w14:paraId="7B36B3E7" w14:textId="77777777" w:rsidR="00DB3907" w:rsidRPr="00F56E56" w:rsidRDefault="00DB3907" w:rsidP="00DB3907">
      <w:pPr>
        <w:pStyle w:val="Header"/>
        <w:rPr>
          <w:rFonts w:cs="Arial"/>
          <w:b w:val="0"/>
        </w:rPr>
      </w:pPr>
    </w:p>
    <w:p w14:paraId="7CA0930F" w14:textId="77777777" w:rsidR="00DB3907" w:rsidRPr="00E53F32" w:rsidRDefault="00DB3907" w:rsidP="00DB3907">
      <w:pPr>
        <w:pStyle w:val="Footer"/>
      </w:pPr>
    </w:p>
    <w:p w14:paraId="3736A740" w14:textId="1D30066F" w:rsidR="00DB3907" w:rsidRDefault="00DB3907" w:rsidP="00DB3907">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6859A6">
        <w:rPr>
          <w:rFonts w:ascii="Arial" w:hAnsi="Arial"/>
          <w:sz w:val="24"/>
          <w:lang w:val="en-US"/>
        </w:rPr>
        <w:t>7.13.3</w:t>
      </w:r>
    </w:p>
    <w:p w14:paraId="46BB2561" w14:textId="6E288BC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 xml:space="preserve">Qualcomm </w:t>
      </w:r>
      <w:r w:rsidR="006859A6">
        <w:rPr>
          <w:rFonts w:ascii="Arial" w:hAnsi="Arial"/>
          <w:sz w:val="24"/>
          <w:lang w:val="en-US"/>
        </w:rPr>
        <w:t>Incorporated</w:t>
      </w:r>
    </w:p>
    <w:p w14:paraId="1495DFFE" w14:textId="1F4A3701"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B1D83">
        <w:rPr>
          <w:rFonts w:ascii="Arial" w:hAnsi="Arial"/>
          <w:sz w:val="24"/>
          <w:lang w:val="en-US"/>
        </w:rPr>
        <w:t>Base Station</w:t>
      </w:r>
      <w:r w:rsidR="006859A6" w:rsidRPr="006859A6">
        <w:rPr>
          <w:rFonts w:ascii="Arial" w:hAnsi="Arial"/>
          <w:sz w:val="24"/>
          <w:lang w:val="en-US"/>
        </w:rPr>
        <w:t xml:space="preserve"> ALCR requirement in 5GHz</w:t>
      </w:r>
    </w:p>
    <w:p w14:paraId="54BEE060" w14:textId="77777777"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515953">
        <w:rPr>
          <w:rFonts w:ascii="Arial" w:hAnsi="Arial"/>
          <w:sz w:val="24"/>
          <w:lang w:val="en-US"/>
        </w:rPr>
        <w:t>Approval</w:t>
      </w:r>
    </w:p>
    <w:p w14:paraId="39B29931" w14:textId="77777777" w:rsidR="0042352E" w:rsidRDefault="000E0602" w:rsidP="000446FD">
      <w:pPr>
        <w:pStyle w:val="Heading1"/>
        <w:tabs>
          <w:tab w:val="clear" w:pos="432"/>
          <w:tab w:val="num" w:pos="522"/>
        </w:tabs>
        <w:ind w:left="522" w:hanging="522"/>
        <w:rPr>
          <w:lang w:val="en-US"/>
        </w:rPr>
      </w:pPr>
      <w:r>
        <w:rPr>
          <w:lang w:val="en-US"/>
        </w:rPr>
        <w:t>Introduction</w:t>
      </w:r>
    </w:p>
    <w:p w14:paraId="13ABD03C" w14:textId="615E6B53" w:rsidR="00F52796" w:rsidRDefault="00541355" w:rsidP="0059323C">
      <w:pPr>
        <w:jc w:val="both"/>
        <w:rPr>
          <w:lang w:val="en-US"/>
        </w:rPr>
      </w:pPr>
      <w:r>
        <w:rPr>
          <w:lang w:val="en-US"/>
        </w:rPr>
        <w:t>In</w:t>
      </w:r>
      <w:r w:rsidR="00002F03">
        <w:rPr>
          <w:lang w:val="en-US"/>
        </w:rPr>
        <w:t xml:space="preserve"> last</w:t>
      </w:r>
      <w:r>
        <w:rPr>
          <w:lang w:val="en-US"/>
        </w:rPr>
        <w:t xml:space="preserve"> </w:t>
      </w:r>
      <w:r w:rsidR="00A13CF6">
        <w:rPr>
          <w:lang w:val="en-US"/>
        </w:rPr>
        <w:t>RAN</w:t>
      </w:r>
      <w:r>
        <w:rPr>
          <w:lang w:val="en-US"/>
        </w:rPr>
        <w:t xml:space="preserve"> meeting held in </w:t>
      </w:r>
      <w:r w:rsidR="00A13CF6">
        <w:rPr>
          <w:lang w:val="en-US"/>
        </w:rPr>
        <w:t>Malmo</w:t>
      </w:r>
      <w:r>
        <w:rPr>
          <w:lang w:val="en-US"/>
        </w:rPr>
        <w:t xml:space="preserve"> (RAN</w:t>
      </w:r>
      <w:r w:rsidR="00A13CF6">
        <w:rPr>
          <w:lang w:val="en-US"/>
        </w:rPr>
        <w:t xml:space="preserve"> #68</w:t>
      </w:r>
      <w:r>
        <w:rPr>
          <w:lang w:val="en-US"/>
        </w:rPr>
        <w:t xml:space="preserve">), </w:t>
      </w:r>
      <w:r w:rsidR="009077ED">
        <w:t xml:space="preserve">a new work item on Licence-Assisted Access (LAA) to unlicensed spectrum was approved </w:t>
      </w:r>
      <w:r w:rsidR="00A13CF6">
        <w:fldChar w:fldCharType="begin"/>
      </w:r>
      <w:r w:rsidR="00A13CF6">
        <w:instrText xml:space="preserve"> REF _Ref419388595 \r \h </w:instrText>
      </w:r>
      <w:r w:rsidR="00A13CF6">
        <w:fldChar w:fldCharType="separate"/>
      </w:r>
      <w:r w:rsidR="005E04D0">
        <w:t>[1]</w:t>
      </w:r>
      <w:r w:rsidR="00A13CF6">
        <w:fldChar w:fldCharType="end"/>
      </w:r>
      <w:r w:rsidR="00A13CF6">
        <w:rPr>
          <w:lang w:val="en-US"/>
        </w:rPr>
        <w:t xml:space="preserve">. In this contribution, </w:t>
      </w:r>
      <w:r w:rsidR="00C42DA4">
        <w:rPr>
          <w:lang w:val="en-US"/>
        </w:rPr>
        <w:t xml:space="preserve">we focus on ACLR requirement for </w:t>
      </w:r>
      <w:r w:rsidR="002B1D83">
        <w:rPr>
          <w:lang w:val="en-US"/>
        </w:rPr>
        <w:t>Base Station (BS)</w:t>
      </w:r>
      <w:r w:rsidR="00C42DA4">
        <w:rPr>
          <w:lang w:val="en-US"/>
        </w:rPr>
        <w:t xml:space="preserve"> transmitting on unlicensed spectrum</w:t>
      </w:r>
      <w:r w:rsidR="00A13CF6">
        <w:rPr>
          <w:lang w:val="en-US"/>
        </w:rPr>
        <w:t>.</w:t>
      </w:r>
      <w:r w:rsidR="00C42DA4">
        <w:rPr>
          <w:lang w:val="en-US"/>
        </w:rPr>
        <w:t xml:space="preserve"> Based on system level simulation results for LAA to LAA coexistence already provided in previous RAN4 meetings, and considering the specific 5GHz unlicensed spectrum scenario, we will also make a specific proposal to update </w:t>
      </w:r>
      <w:r w:rsidR="002B1D83">
        <w:rPr>
          <w:lang w:val="en-US"/>
        </w:rPr>
        <w:t>BS</w:t>
      </w:r>
      <w:r w:rsidR="00C42DA4">
        <w:rPr>
          <w:lang w:val="en-US"/>
        </w:rPr>
        <w:t xml:space="preserve"> ACLR value in 5GHz band(s).  </w:t>
      </w:r>
    </w:p>
    <w:p w14:paraId="416042B2" w14:textId="77777777" w:rsidR="00F52796" w:rsidRDefault="00F52796" w:rsidP="00F52796">
      <w:pPr>
        <w:rPr>
          <w:lang w:val="en-US"/>
        </w:rPr>
      </w:pPr>
    </w:p>
    <w:p w14:paraId="24EB89A5" w14:textId="77777777" w:rsidR="007C6E00" w:rsidRDefault="007C6E00" w:rsidP="007C6E00">
      <w:pPr>
        <w:pStyle w:val="Heading1"/>
        <w:tabs>
          <w:tab w:val="clear" w:pos="432"/>
          <w:tab w:val="num" w:pos="522"/>
        </w:tabs>
        <w:ind w:left="522" w:hanging="522"/>
        <w:rPr>
          <w:lang w:val="en-US"/>
        </w:rPr>
      </w:pPr>
      <w:r>
        <w:rPr>
          <w:lang w:val="en-US"/>
        </w:rPr>
        <w:t>Discussion</w:t>
      </w:r>
    </w:p>
    <w:p w14:paraId="36E12B87" w14:textId="62D23D05" w:rsidR="004B4DC7" w:rsidRDefault="00C42DA4" w:rsidP="0059323C">
      <w:pPr>
        <w:jc w:val="both"/>
      </w:pPr>
      <w:r w:rsidRPr="00C42DA4">
        <w:t xml:space="preserve">In </w:t>
      </w:r>
      <w:r>
        <w:t xml:space="preserve">RAN4 #75bis held in Fukuoka, several simulation results addressing LAA to LAA adjacent channel coexistence were presented </w:t>
      </w:r>
      <w:r>
        <w:fldChar w:fldCharType="begin"/>
      </w:r>
      <w:r>
        <w:instrText xml:space="preserve"> REF _Ref427232686 \r \h </w:instrText>
      </w:r>
      <w:r>
        <w:fldChar w:fldCharType="separate"/>
      </w:r>
      <w:r>
        <w:t>[5]</w:t>
      </w:r>
      <w:r>
        <w:fldChar w:fldCharType="end"/>
      </w:r>
      <w:r>
        <w:fldChar w:fldCharType="begin"/>
      </w:r>
      <w:r>
        <w:instrText xml:space="preserve"> REF _Ref427232688 \r \h </w:instrText>
      </w:r>
      <w:r>
        <w:fldChar w:fldCharType="separate"/>
      </w:r>
      <w:r>
        <w:t>[6]</w:t>
      </w:r>
      <w:r>
        <w:fldChar w:fldCharType="end"/>
      </w:r>
      <w:r>
        <w:t xml:space="preserve">. </w:t>
      </w:r>
      <w:r w:rsidR="004B4DC7">
        <w:t>First of all, it was pointed out how the interference situation in unlicensed spectrum is different from the “controlled” environment available in licensed bands. Based on this observation, it is clear that having a tight ACLR requirement could be not beneficial in terms of final end user performance, the motivation being that other technologies using the same spectrum could still satisfy regulatory requirements with much worse RF specifications. On the other hand, imposing tight requirement</w:t>
      </w:r>
      <w:r w:rsidR="00416BCB">
        <w:t>s</w:t>
      </w:r>
      <w:r w:rsidR="004B4DC7">
        <w:t xml:space="preserve"> could be </w:t>
      </w:r>
      <w:r w:rsidR="00416BCB">
        <w:t>a disadvantage in terms</w:t>
      </w:r>
      <w:r w:rsidR="004B4DC7">
        <w:t xml:space="preserve"> </w:t>
      </w:r>
      <w:r w:rsidR="00416BCB">
        <w:t xml:space="preserve">of competition with other technologies operating in the same spectrum </w:t>
      </w:r>
      <w:r w:rsidR="004B4DC7">
        <w:t>due to higher cost of the RF components need</w:t>
      </w:r>
      <w:r w:rsidR="00416BCB">
        <w:t>ed</w:t>
      </w:r>
      <w:r w:rsidR="004B4DC7">
        <w:t xml:space="preserve"> to meet </w:t>
      </w:r>
      <w:r w:rsidR="00416BCB">
        <w:t>those</w:t>
      </w:r>
      <w:r w:rsidR="004B4DC7">
        <w:t xml:space="preserve"> requirements.</w:t>
      </w:r>
    </w:p>
    <w:p w14:paraId="373065FE" w14:textId="2E5C42F8" w:rsidR="004B4DC7" w:rsidRDefault="004B4DC7" w:rsidP="0059323C">
      <w:pPr>
        <w:jc w:val="both"/>
      </w:pPr>
      <w:r>
        <w:t xml:space="preserve">An extensive analysis was also performed to show SINR distributions and throughput degradation as a function of ACLR in case of LAA to LAA coexistence. It was shown that a relaxation of </w:t>
      </w:r>
      <w:r w:rsidR="002B1D83">
        <w:t>Base Station</w:t>
      </w:r>
      <w:r>
        <w:t xml:space="preserve"> ACLR will have a limited impact in terms of throughput degradation due to adjacent channel interference (ACI).</w:t>
      </w:r>
    </w:p>
    <w:p w14:paraId="469BD1C1" w14:textId="3381CD6F" w:rsidR="004B4DC7" w:rsidRDefault="004B4DC7" w:rsidP="0059323C">
      <w:pPr>
        <w:jc w:val="both"/>
      </w:pPr>
      <w:r>
        <w:t xml:space="preserve">The above observation were captured in LAA TR 36.899 conclusion on ACI study </w:t>
      </w:r>
      <w:r>
        <w:fldChar w:fldCharType="begin"/>
      </w:r>
      <w:r>
        <w:instrText xml:space="preserve"> REF _Ref425857735 \r \h </w:instrText>
      </w:r>
      <w:r>
        <w:fldChar w:fldCharType="separate"/>
      </w:r>
      <w:r>
        <w:t>[3]</w:t>
      </w:r>
      <w:r>
        <w:fldChar w:fldCharType="end"/>
      </w:r>
      <w:r>
        <w:t>:</w:t>
      </w:r>
    </w:p>
    <w:p w14:paraId="7662CC95" w14:textId="77777777" w:rsidR="004B4DC7" w:rsidRPr="004B4DC7" w:rsidRDefault="004B4DC7" w:rsidP="004B4DC7">
      <w:pPr>
        <w:pStyle w:val="B1"/>
        <w:rPr>
          <w:i/>
        </w:rPr>
      </w:pPr>
      <w:r w:rsidRPr="004B4DC7">
        <w:rPr>
          <w:i/>
        </w:rPr>
        <w:t>-</w:t>
      </w:r>
      <w:r w:rsidRPr="004B4DC7">
        <w:rPr>
          <w:i/>
        </w:rPr>
        <w:tab/>
        <w:t xml:space="preserve">From ACI point of view, ACLR values lower than legacy requirement cause a limited impact in SINR performance (and hence to throughput performance since SINR and throughput are linearly related) in the scenario of DL to DL. </w:t>
      </w:r>
    </w:p>
    <w:p w14:paraId="474F79D9" w14:textId="77777777" w:rsidR="004B4DC7" w:rsidRPr="004B4DC7" w:rsidRDefault="004B4DC7" w:rsidP="004B4DC7">
      <w:pPr>
        <w:pStyle w:val="B1"/>
        <w:rPr>
          <w:i/>
        </w:rPr>
      </w:pPr>
      <w:r w:rsidRPr="004B4DC7">
        <w:rPr>
          <w:i/>
        </w:rPr>
        <w:t>-</w:t>
      </w:r>
      <w:r w:rsidRPr="004B4DC7">
        <w:rPr>
          <w:i/>
        </w:rPr>
        <w:tab/>
        <w:t xml:space="preserve">From throughput loss point of view ACLR values should be larger than certain value to ensure coexistence for LAA to LAA in the scenario of DL to UL. </w:t>
      </w:r>
    </w:p>
    <w:p w14:paraId="6B218940" w14:textId="77777777" w:rsidR="002B1D83" w:rsidRDefault="004B4DC7" w:rsidP="0059323C">
      <w:pPr>
        <w:jc w:val="both"/>
        <w:rPr>
          <w:i/>
          <w:lang w:eastAsia="zh-CN"/>
        </w:rPr>
      </w:pPr>
      <w:r>
        <w:t xml:space="preserve">Of course, it was also observed </w:t>
      </w:r>
      <w:r w:rsidRPr="004B4DC7">
        <w:rPr>
          <w:i/>
        </w:rPr>
        <w:t xml:space="preserve">that </w:t>
      </w:r>
      <w:r w:rsidRPr="004B4DC7">
        <w:rPr>
          <w:i/>
          <w:lang w:eastAsia="zh-CN"/>
        </w:rPr>
        <w:t>since LAA and Wi-Fi are supposed to co-exist in 5GHz spectrum, any possible modification of existing LTE RF requirements should take into account also Wi-Fi RF requirements</w:t>
      </w:r>
      <w:r>
        <w:rPr>
          <w:i/>
          <w:lang w:eastAsia="zh-CN"/>
        </w:rPr>
        <w:t>.</w:t>
      </w:r>
    </w:p>
    <w:p w14:paraId="30DB792B" w14:textId="009B41A2" w:rsidR="0017771E" w:rsidRPr="002B1D83" w:rsidRDefault="002B1D83" w:rsidP="0059323C">
      <w:pPr>
        <w:jc w:val="both"/>
      </w:pPr>
      <w:r>
        <w:rPr>
          <w:lang w:eastAsia="zh-CN"/>
        </w:rPr>
        <w:t xml:space="preserve"> </w:t>
      </w:r>
    </w:p>
    <w:p w14:paraId="6EC42E06" w14:textId="1175A654" w:rsidR="007D2CD1" w:rsidRDefault="002B1D83" w:rsidP="007D2CD1">
      <w:pPr>
        <w:pStyle w:val="Heading1"/>
        <w:tabs>
          <w:tab w:val="clear" w:pos="432"/>
          <w:tab w:val="num" w:pos="522"/>
        </w:tabs>
        <w:ind w:left="522" w:hanging="522"/>
        <w:rPr>
          <w:lang w:val="en-US"/>
        </w:rPr>
      </w:pPr>
      <w:r>
        <w:rPr>
          <w:lang w:val="en-US"/>
        </w:rPr>
        <w:t>Base Station</w:t>
      </w:r>
      <w:r w:rsidR="00C42DA4">
        <w:rPr>
          <w:lang w:val="en-US"/>
        </w:rPr>
        <w:t xml:space="preserve"> ACLR proposal</w:t>
      </w:r>
    </w:p>
    <w:p w14:paraId="4EDED4E0" w14:textId="77777777" w:rsidR="00227191" w:rsidRDefault="002B1D83" w:rsidP="00985A99">
      <w:pPr>
        <w:jc w:val="both"/>
        <w:rPr>
          <w:lang w:eastAsia="zh-CN"/>
        </w:rPr>
      </w:pPr>
      <w:r>
        <w:rPr>
          <w:lang w:eastAsia="zh-CN"/>
        </w:rPr>
        <w:t xml:space="preserve">Based on the above observations and on the conclusions of LAA SI, there are evidences showing that an ACLR relaxation is possible with limited impact to LAA throughput. In </w:t>
      </w:r>
      <w:r>
        <w:rPr>
          <w:lang w:eastAsia="zh-CN"/>
        </w:rPr>
        <w:fldChar w:fldCharType="begin"/>
      </w:r>
      <w:r>
        <w:rPr>
          <w:lang w:eastAsia="zh-CN"/>
        </w:rPr>
        <w:instrText xml:space="preserve"> REF _Ref427232686 \r \h </w:instrText>
      </w:r>
      <w:r>
        <w:rPr>
          <w:lang w:eastAsia="zh-CN"/>
        </w:rPr>
      </w:r>
      <w:r>
        <w:rPr>
          <w:lang w:eastAsia="zh-CN"/>
        </w:rPr>
        <w:fldChar w:fldCharType="separate"/>
      </w:r>
      <w:r>
        <w:rPr>
          <w:lang w:eastAsia="zh-CN"/>
        </w:rPr>
        <w:t>[5]</w:t>
      </w:r>
      <w:r>
        <w:rPr>
          <w:lang w:eastAsia="zh-CN"/>
        </w:rPr>
        <w:fldChar w:fldCharType="end"/>
      </w:r>
      <w:r>
        <w:rPr>
          <w:lang w:eastAsia="zh-CN"/>
        </w:rPr>
        <w:t xml:space="preserve"> a wide range of BS ACLR was simulated in LAA to LAA coexistence study. Results showed that relaxing ACLR up to 30dBc has negligible impact on throughput, these results were also included in LAA TR 36.899. It is also worth noticing that an ACLR=30dBc would still be higher compared to Wi-Fi ACLR. Indeed, as document</w:t>
      </w:r>
      <w:r w:rsidR="00227191">
        <w:rPr>
          <w:lang w:eastAsia="zh-CN"/>
        </w:rPr>
        <w:t>ed</w:t>
      </w:r>
      <w:r>
        <w:rPr>
          <w:lang w:eastAsia="zh-CN"/>
        </w:rPr>
        <w:t xml:space="preserve"> in </w:t>
      </w:r>
      <w:r>
        <w:rPr>
          <w:lang w:eastAsia="zh-CN"/>
        </w:rPr>
        <w:fldChar w:fldCharType="begin"/>
      </w:r>
      <w:r>
        <w:rPr>
          <w:lang w:eastAsia="zh-CN"/>
        </w:rPr>
        <w:instrText xml:space="preserve"> REF _Ref425857735 \r \h </w:instrText>
      </w:r>
      <w:r>
        <w:rPr>
          <w:lang w:eastAsia="zh-CN"/>
        </w:rPr>
      </w:r>
      <w:r>
        <w:rPr>
          <w:lang w:eastAsia="zh-CN"/>
        </w:rPr>
        <w:fldChar w:fldCharType="separate"/>
      </w:r>
      <w:r>
        <w:rPr>
          <w:lang w:eastAsia="zh-CN"/>
        </w:rPr>
        <w:t>[3]</w:t>
      </w:r>
      <w:r>
        <w:rPr>
          <w:lang w:eastAsia="zh-CN"/>
        </w:rPr>
        <w:fldChar w:fldCharType="end"/>
      </w:r>
      <w:r>
        <w:rPr>
          <w:lang w:eastAsia="zh-CN"/>
        </w:rPr>
        <w:t>, ACLR value which can be obtained through integration of tran</w:t>
      </w:r>
      <w:r w:rsidR="00227191">
        <w:rPr>
          <w:lang w:eastAsia="zh-CN"/>
        </w:rPr>
        <w:t xml:space="preserve">smitter mask in IEEE specification is about 26dBc. </w:t>
      </w:r>
    </w:p>
    <w:p w14:paraId="367BC37B" w14:textId="1F064A23" w:rsidR="00416BCB" w:rsidRDefault="00416BCB" w:rsidP="00985A99">
      <w:pPr>
        <w:jc w:val="both"/>
        <w:rPr>
          <w:lang w:eastAsia="zh-CN"/>
        </w:rPr>
      </w:pPr>
      <w:r>
        <w:rPr>
          <w:lang w:eastAsia="zh-CN"/>
        </w:rPr>
        <w:lastRenderedPageBreak/>
        <w:t xml:space="preserve">It is worth noticing that the need of this relaxation comes from a completely new area of operation for LTE. Indeed, similar to what Wi-Fi APs and STAs are doing today, new Base Stations supporting LAA in 5GHz band, should guarantee PA performance over a very wide spectrum (5150MHz-5925MHz), making the possibility to meet legacy requirement (which was defined for licensed bands in much lower frequency ranges) very challenging.  </w:t>
      </w:r>
    </w:p>
    <w:p w14:paraId="24B2F8F7" w14:textId="0105DB59" w:rsidR="0047457E" w:rsidRDefault="0047457E" w:rsidP="00985A99">
      <w:pPr>
        <w:jc w:val="both"/>
      </w:pPr>
      <w:r>
        <w:rPr>
          <w:lang w:eastAsia="zh-CN"/>
        </w:rPr>
        <w:t>Based on the above observations, we make the following proposal:</w:t>
      </w:r>
    </w:p>
    <w:p w14:paraId="1AE1BF8C" w14:textId="2D2EE35B" w:rsidR="00026A8A" w:rsidRPr="00227191" w:rsidRDefault="00227191" w:rsidP="00026A8A">
      <w:pPr>
        <w:rPr>
          <w:b/>
          <w:i/>
        </w:rPr>
      </w:pPr>
      <w:r w:rsidRPr="00227191">
        <w:rPr>
          <w:b/>
          <w:i/>
        </w:rPr>
        <w:t xml:space="preserve">Proposal 1: </w:t>
      </w:r>
      <w:r>
        <w:rPr>
          <w:b/>
          <w:i/>
        </w:rPr>
        <w:t xml:space="preserve">Medium Range and Local Area BS ACLR for 5GHz band(s) should be </w:t>
      </w:r>
      <w:r w:rsidR="001C34BA">
        <w:rPr>
          <w:b/>
          <w:i/>
        </w:rPr>
        <w:t>3</w:t>
      </w:r>
      <w:r>
        <w:rPr>
          <w:b/>
          <w:i/>
        </w:rPr>
        <w:t>0dB.</w:t>
      </w:r>
    </w:p>
    <w:p w14:paraId="69F635E1" w14:textId="4C350D09" w:rsidR="00227191" w:rsidRDefault="00E33DE2" w:rsidP="00026A8A">
      <w:r>
        <w:t xml:space="preserve">Assuming that a single band will be defined for 5GHz spectrum, namely Band 45 as proposed in </w:t>
      </w:r>
      <w:r>
        <w:fldChar w:fldCharType="begin"/>
      </w:r>
      <w:r>
        <w:instrText xml:space="preserve"> REF _Ref425860957 \r \h </w:instrText>
      </w:r>
      <w:r>
        <w:fldChar w:fldCharType="separate"/>
      </w:r>
      <w:r>
        <w:t>[4]</w:t>
      </w:r>
      <w:r>
        <w:fldChar w:fldCharType="end"/>
      </w:r>
      <w:r>
        <w:t xml:space="preserve">, the following table </w:t>
      </w:r>
      <w:r w:rsidR="00416BCB">
        <w:t>could</w:t>
      </w:r>
      <w:r>
        <w:t xml:space="preserve"> be included in TS 36.104</w:t>
      </w:r>
      <w:r w:rsidR="00EB394F">
        <w:t>:</w:t>
      </w:r>
      <w:bookmarkStart w:id="0" w:name="_GoBack"/>
      <w:bookmarkEnd w:id="0"/>
    </w:p>
    <w:p w14:paraId="6A32A983" w14:textId="1AC51E5C" w:rsidR="00E33DE2" w:rsidRPr="00E33DE2" w:rsidRDefault="00E33DE2" w:rsidP="00E33DE2">
      <w:pPr>
        <w:pStyle w:val="TH"/>
        <w:rPr>
          <w:rFonts w:cs="v5.0.0"/>
          <w:color w:val="FF0000"/>
        </w:rPr>
      </w:pPr>
      <w:r w:rsidRPr="00E33DE2">
        <w:rPr>
          <w:rFonts w:cs="v5.0.0"/>
          <w:color w:val="FF0000"/>
        </w:rPr>
        <w:t>Table 6.6.2.1-1b: Medium Range and Local Area BS ACLR in band</w:t>
      </w:r>
      <w:r>
        <w:rPr>
          <w:rFonts w:cs="v5.0.0"/>
          <w:color w:val="FF0000"/>
        </w:rPr>
        <w:t xml:space="preserve"> 45</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E33DE2" w:rsidRPr="00E33DE2" w14:paraId="1E863088" w14:textId="77777777" w:rsidTr="00A110DA">
        <w:trPr>
          <w:cantSplit/>
          <w:jc w:val="center"/>
        </w:trPr>
        <w:tc>
          <w:tcPr>
            <w:tcW w:w="2202" w:type="dxa"/>
          </w:tcPr>
          <w:p w14:paraId="349DF8B5" w14:textId="77777777" w:rsidR="00E33DE2" w:rsidRPr="00E33DE2" w:rsidRDefault="00E33DE2" w:rsidP="00A110DA">
            <w:pPr>
              <w:pStyle w:val="TAH"/>
              <w:rPr>
                <w:rFonts w:cs="v5.0.0"/>
                <w:color w:val="FF0000"/>
              </w:rPr>
            </w:pPr>
            <w:r w:rsidRPr="00E33DE2">
              <w:rPr>
                <w:rFonts w:eastAsia="SimSun" w:cs="v5.0.0"/>
                <w:color w:val="FF0000"/>
              </w:rPr>
              <w:t>C</w:t>
            </w:r>
            <w:r w:rsidRPr="00E33DE2">
              <w:rPr>
                <w:rFonts w:cs="v5.0.0"/>
                <w:color w:val="FF0000"/>
              </w:rPr>
              <w:t xml:space="preserve">hannel bandwidth </w:t>
            </w:r>
            <w:r w:rsidRPr="00E33DE2">
              <w:rPr>
                <w:rFonts w:eastAsia="SimSun" w:cs="v5.0.0"/>
                <w:color w:val="FF0000"/>
              </w:rPr>
              <w:t xml:space="preserve">of </w:t>
            </w:r>
            <w:r w:rsidRPr="00E33DE2">
              <w:rPr>
                <w:rFonts w:cs="v5.0.0"/>
                <w:color w:val="FF0000"/>
              </w:rPr>
              <w:t xml:space="preserve">E-UTRA </w:t>
            </w:r>
            <w:r w:rsidRPr="00E33DE2">
              <w:rPr>
                <w:rFonts w:eastAsia="SimSun" w:cs="v5.0.0"/>
                <w:color w:val="FF0000"/>
              </w:rPr>
              <w:t>l</w:t>
            </w:r>
            <w:r w:rsidRPr="00E33DE2">
              <w:rPr>
                <w:rFonts w:eastAsia="SimSun" w:cs="Arial"/>
                <w:color w:val="FF0000"/>
              </w:rPr>
              <w:t>owest (highest) carrier</w:t>
            </w:r>
            <w:r w:rsidRPr="00E33DE2">
              <w:rPr>
                <w:rFonts w:cs="v5.0.0"/>
                <w:color w:val="FF0000"/>
              </w:rPr>
              <w:t xml:space="preserve"> transmitted </w:t>
            </w:r>
            <w:r w:rsidRPr="00E33DE2">
              <w:rPr>
                <w:rFonts w:cs="Arial"/>
                <w:color w:val="FF0000"/>
              </w:rPr>
              <w:t>BW</w:t>
            </w:r>
            <w:r w:rsidRPr="00E33DE2">
              <w:rPr>
                <w:rFonts w:cs="Arial"/>
                <w:color w:val="FF0000"/>
                <w:vertAlign w:val="subscript"/>
              </w:rPr>
              <w:t>Channel</w:t>
            </w:r>
            <w:r w:rsidRPr="00E33DE2">
              <w:rPr>
                <w:rFonts w:cs="v5.0.0"/>
                <w:color w:val="FF0000"/>
              </w:rPr>
              <w:t xml:space="preserve"> [MHz] </w:t>
            </w:r>
          </w:p>
        </w:tc>
        <w:tc>
          <w:tcPr>
            <w:tcW w:w="2191" w:type="dxa"/>
          </w:tcPr>
          <w:p w14:paraId="2B5B03BC" w14:textId="77777777" w:rsidR="00E33DE2" w:rsidRPr="00E33DE2" w:rsidRDefault="00E33DE2" w:rsidP="00A110DA">
            <w:pPr>
              <w:pStyle w:val="TAH"/>
              <w:rPr>
                <w:rFonts w:cs="v5.0.0"/>
                <w:color w:val="FF0000"/>
              </w:rPr>
            </w:pPr>
            <w:r w:rsidRPr="00E33DE2">
              <w:rPr>
                <w:rFonts w:cs="v5.0.0"/>
                <w:color w:val="FF0000"/>
              </w:rPr>
              <w:t xml:space="preserve">BS adjacent channel centre frequency offset below the </w:t>
            </w:r>
            <w:r w:rsidRPr="00E33DE2">
              <w:rPr>
                <w:rFonts w:eastAsia="SimSun" w:cs="v5.0.0"/>
                <w:color w:val="FF0000"/>
              </w:rPr>
              <w:t>lowest</w:t>
            </w:r>
            <w:r w:rsidRPr="00E33DE2">
              <w:rPr>
                <w:rFonts w:cs="v5.0.0"/>
                <w:color w:val="FF0000"/>
              </w:rPr>
              <w:t xml:space="preserve"> or above the </w:t>
            </w:r>
            <w:r w:rsidRPr="00E33DE2">
              <w:rPr>
                <w:rFonts w:eastAsia="SimSun" w:cs="v5.0.0"/>
                <w:color w:val="FF0000"/>
              </w:rPr>
              <w:t>highest</w:t>
            </w:r>
            <w:r w:rsidRPr="00E33DE2">
              <w:rPr>
                <w:rFonts w:cs="v5.0.0"/>
                <w:color w:val="FF0000"/>
              </w:rPr>
              <w:t xml:space="preserve"> carrier centre frequency transmitted</w:t>
            </w:r>
          </w:p>
        </w:tc>
        <w:tc>
          <w:tcPr>
            <w:tcW w:w="1949" w:type="dxa"/>
          </w:tcPr>
          <w:p w14:paraId="5DAAFDD0" w14:textId="77777777" w:rsidR="00E33DE2" w:rsidRPr="00E33DE2" w:rsidRDefault="00E33DE2" w:rsidP="00A110DA">
            <w:pPr>
              <w:pStyle w:val="TAH"/>
              <w:rPr>
                <w:rFonts w:cs="v5.0.0"/>
                <w:color w:val="FF0000"/>
              </w:rPr>
            </w:pPr>
            <w:r w:rsidRPr="00E33DE2">
              <w:rPr>
                <w:rFonts w:cs="v5.0.0"/>
                <w:color w:val="FF0000"/>
              </w:rPr>
              <w:t>Assumed adjacent channel carrier (informative)</w:t>
            </w:r>
          </w:p>
        </w:tc>
        <w:tc>
          <w:tcPr>
            <w:tcW w:w="2179" w:type="dxa"/>
          </w:tcPr>
          <w:p w14:paraId="03D80F73" w14:textId="77777777" w:rsidR="00E33DE2" w:rsidRPr="00E33DE2" w:rsidRDefault="00E33DE2" w:rsidP="00A110DA">
            <w:pPr>
              <w:pStyle w:val="TAH"/>
              <w:rPr>
                <w:rFonts w:cs="v5.0.0"/>
                <w:color w:val="FF0000"/>
              </w:rPr>
            </w:pPr>
            <w:r w:rsidRPr="00E33DE2">
              <w:rPr>
                <w:rFonts w:cs="v5.0.0"/>
                <w:color w:val="FF0000"/>
              </w:rPr>
              <w:t>Filter on the adjacent channel frequency and corresponding filter bandwidth</w:t>
            </w:r>
          </w:p>
        </w:tc>
        <w:tc>
          <w:tcPr>
            <w:tcW w:w="912" w:type="dxa"/>
          </w:tcPr>
          <w:p w14:paraId="12D55E0F" w14:textId="77777777" w:rsidR="00E33DE2" w:rsidRPr="00E33DE2" w:rsidRDefault="00E33DE2" w:rsidP="00A110DA">
            <w:pPr>
              <w:pStyle w:val="TAH"/>
              <w:rPr>
                <w:rFonts w:cs="v5.0.0"/>
                <w:color w:val="FF0000"/>
              </w:rPr>
            </w:pPr>
            <w:r w:rsidRPr="00E33DE2">
              <w:rPr>
                <w:rFonts w:cs="v5.0.0"/>
                <w:color w:val="FF0000"/>
              </w:rPr>
              <w:t>ACLR limit</w:t>
            </w:r>
          </w:p>
        </w:tc>
      </w:tr>
      <w:tr w:rsidR="00E33DE2" w:rsidRPr="00E33DE2" w14:paraId="5CD5781E" w14:textId="77777777" w:rsidTr="00A110DA">
        <w:trPr>
          <w:cantSplit/>
          <w:jc w:val="center"/>
        </w:trPr>
        <w:tc>
          <w:tcPr>
            <w:tcW w:w="2202" w:type="dxa"/>
            <w:vMerge w:val="restart"/>
          </w:tcPr>
          <w:p w14:paraId="1D008509" w14:textId="7A7EC97A" w:rsidR="00E33DE2" w:rsidRPr="00E33DE2" w:rsidRDefault="00E33DE2" w:rsidP="00A110DA">
            <w:pPr>
              <w:pStyle w:val="TAC"/>
              <w:rPr>
                <w:rFonts w:cs="v5.0.0"/>
                <w:color w:val="FF0000"/>
              </w:rPr>
            </w:pPr>
            <w:r w:rsidRPr="00E33DE2">
              <w:rPr>
                <w:rFonts w:cs="v5.0.0"/>
                <w:color w:val="FF0000"/>
              </w:rPr>
              <w:t>20</w:t>
            </w:r>
          </w:p>
        </w:tc>
        <w:tc>
          <w:tcPr>
            <w:tcW w:w="2191" w:type="dxa"/>
          </w:tcPr>
          <w:p w14:paraId="37FC6384" w14:textId="77777777" w:rsidR="00E33DE2" w:rsidRPr="00E33DE2" w:rsidRDefault="00E33DE2" w:rsidP="00A110DA">
            <w:pPr>
              <w:pStyle w:val="TAC"/>
              <w:rPr>
                <w:rFonts w:cs="v5.0.0"/>
                <w:color w:val="FF0000"/>
              </w:rPr>
            </w:pPr>
            <w:r w:rsidRPr="00E33DE2">
              <w:rPr>
                <w:rFonts w:cs="Arial"/>
                <w:color w:val="FF0000"/>
              </w:rPr>
              <w:t>BW</w:t>
            </w:r>
            <w:r w:rsidRPr="00E33DE2">
              <w:rPr>
                <w:rFonts w:cs="Arial"/>
                <w:color w:val="FF0000"/>
                <w:vertAlign w:val="subscript"/>
              </w:rPr>
              <w:t>Channel</w:t>
            </w:r>
          </w:p>
        </w:tc>
        <w:tc>
          <w:tcPr>
            <w:tcW w:w="1949" w:type="dxa"/>
          </w:tcPr>
          <w:p w14:paraId="68829019" w14:textId="77777777" w:rsidR="00E33DE2" w:rsidRPr="00E33DE2" w:rsidRDefault="00E33DE2" w:rsidP="00A110DA">
            <w:pPr>
              <w:pStyle w:val="TAC"/>
              <w:rPr>
                <w:rFonts w:cs="v5.0.0"/>
                <w:color w:val="FF0000"/>
              </w:rPr>
            </w:pPr>
            <w:r w:rsidRPr="00E33DE2">
              <w:rPr>
                <w:rFonts w:cs="v5.0.0"/>
                <w:color w:val="FF0000"/>
              </w:rPr>
              <w:t>E-UTRA of same BW</w:t>
            </w:r>
          </w:p>
        </w:tc>
        <w:tc>
          <w:tcPr>
            <w:tcW w:w="2179" w:type="dxa"/>
          </w:tcPr>
          <w:p w14:paraId="73DF046B" w14:textId="77777777" w:rsidR="00E33DE2" w:rsidRPr="00E33DE2" w:rsidRDefault="00E33DE2" w:rsidP="00A110DA">
            <w:pPr>
              <w:pStyle w:val="TAC"/>
              <w:rPr>
                <w:rFonts w:cs="v5.0.0"/>
                <w:color w:val="FF0000"/>
              </w:rPr>
            </w:pPr>
            <w:r w:rsidRPr="00E33DE2">
              <w:rPr>
                <w:rFonts w:cs="v5.0.0"/>
                <w:color w:val="FF0000"/>
              </w:rPr>
              <w:t>Square (</w:t>
            </w:r>
            <w:r w:rsidRPr="00E33DE2">
              <w:rPr>
                <w:rFonts w:cs="Arial"/>
                <w:color w:val="FF0000"/>
              </w:rPr>
              <w:t>BW</w:t>
            </w:r>
            <w:r w:rsidRPr="00E33DE2">
              <w:rPr>
                <w:rFonts w:cs="Arial"/>
                <w:color w:val="FF0000"/>
                <w:vertAlign w:val="subscript"/>
              </w:rPr>
              <w:t>Config</w:t>
            </w:r>
            <w:r w:rsidRPr="00E33DE2">
              <w:rPr>
                <w:rFonts w:cs="v5.0.0"/>
                <w:color w:val="FF0000"/>
              </w:rPr>
              <w:t>)</w:t>
            </w:r>
          </w:p>
        </w:tc>
        <w:tc>
          <w:tcPr>
            <w:tcW w:w="912" w:type="dxa"/>
          </w:tcPr>
          <w:p w14:paraId="4DB967F1" w14:textId="38BD0943" w:rsidR="00E33DE2" w:rsidRPr="00E33DE2" w:rsidRDefault="00E33DE2" w:rsidP="00A110DA">
            <w:pPr>
              <w:pStyle w:val="TAC"/>
              <w:rPr>
                <w:rFonts w:cs="v5.0.0"/>
                <w:color w:val="FF0000"/>
              </w:rPr>
            </w:pPr>
            <w:r>
              <w:rPr>
                <w:rFonts w:cs="v5.0.0"/>
                <w:color w:val="FF0000"/>
              </w:rPr>
              <w:t>30</w:t>
            </w:r>
            <w:r w:rsidRPr="00E33DE2">
              <w:rPr>
                <w:rFonts w:cs="v5.0.0"/>
                <w:color w:val="FF0000"/>
              </w:rPr>
              <w:t xml:space="preserve"> dB</w:t>
            </w:r>
          </w:p>
        </w:tc>
      </w:tr>
      <w:tr w:rsidR="00E33DE2" w:rsidRPr="00E33DE2" w14:paraId="581090CD" w14:textId="77777777" w:rsidTr="00A110DA">
        <w:trPr>
          <w:cantSplit/>
          <w:jc w:val="center"/>
        </w:trPr>
        <w:tc>
          <w:tcPr>
            <w:tcW w:w="2202" w:type="dxa"/>
            <w:vMerge/>
          </w:tcPr>
          <w:p w14:paraId="046E0280" w14:textId="77777777" w:rsidR="00E33DE2" w:rsidRPr="00E33DE2" w:rsidRDefault="00E33DE2" w:rsidP="00A110DA">
            <w:pPr>
              <w:pStyle w:val="TAC"/>
              <w:rPr>
                <w:rFonts w:cs="v5.0.0"/>
                <w:color w:val="FF0000"/>
              </w:rPr>
            </w:pPr>
          </w:p>
        </w:tc>
        <w:tc>
          <w:tcPr>
            <w:tcW w:w="2191" w:type="dxa"/>
          </w:tcPr>
          <w:p w14:paraId="0B6295AF" w14:textId="77777777" w:rsidR="00E33DE2" w:rsidRPr="00E33DE2" w:rsidRDefault="00E33DE2" w:rsidP="00A110DA">
            <w:pPr>
              <w:pStyle w:val="TAC"/>
              <w:rPr>
                <w:rFonts w:cs="v5.0.0"/>
                <w:color w:val="FF0000"/>
              </w:rPr>
            </w:pPr>
            <w:r w:rsidRPr="00E33DE2">
              <w:rPr>
                <w:rFonts w:cs="v5.0.0"/>
                <w:color w:val="FF0000"/>
              </w:rPr>
              <w:t xml:space="preserve">2 x </w:t>
            </w:r>
            <w:r w:rsidRPr="00E33DE2">
              <w:rPr>
                <w:rFonts w:cs="Arial"/>
                <w:color w:val="FF0000"/>
              </w:rPr>
              <w:t>BW</w:t>
            </w:r>
            <w:r w:rsidRPr="00E33DE2">
              <w:rPr>
                <w:rFonts w:cs="Arial"/>
                <w:color w:val="FF0000"/>
                <w:vertAlign w:val="subscript"/>
              </w:rPr>
              <w:t>Channel</w:t>
            </w:r>
          </w:p>
        </w:tc>
        <w:tc>
          <w:tcPr>
            <w:tcW w:w="1949" w:type="dxa"/>
          </w:tcPr>
          <w:p w14:paraId="6015225B" w14:textId="77777777" w:rsidR="00E33DE2" w:rsidRPr="00E33DE2" w:rsidRDefault="00E33DE2" w:rsidP="00A110DA">
            <w:pPr>
              <w:pStyle w:val="TAC"/>
              <w:rPr>
                <w:rFonts w:cs="v5.0.0"/>
                <w:color w:val="FF0000"/>
              </w:rPr>
            </w:pPr>
            <w:r w:rsidRPr="00E33DE2">
              <w:rPr>
                <w:rFonts w:cs="v5.0.0"/>
                <w:color w:val="FF0000"/>
              </w:rPr>
              <w:t>E-UTRA of same BW</w:t>
            </w:r>
          </w:p>
        </w:tc>
        <w:tc>
          <w:tcPr>
            <w:tcW w:w="2179" w:type="dxa"/>
          </w:tcPr>
          <w:p w14:paraId="25D3D759" w14:textId="77777777" w:rsidR="00E33DE2" w:rsidRPr="00E33DE2" w:rsidRDefault="00E33DE2" w:rsidP="00A110DA">
            <w:pPr>
              <w:pStyle w:val="TAC"/>
              <w:rPr>
                <w:rFonts w:cs="v5.0.0"/>
                <w:color w:val="FF0000"/>
              </w:rPr>
            </w:pPr>
            <w:r w:rsidRPr="00E33DE2">
              <w:rPr>
                <w:rFonts w:cs="v5.0.0"/>
                <w:color w:val="FF0000"/>
              </w:rPr>
              <w:t>Square (</w:t>
            </w:r>
            <w:r w:rsidRPr="00E33DE2">
              <w:rPr>
                <w:rFonts w:cs="Arial"/>
                <w:color w:val="FF0000"/>
              </w:rPr>
              <w:t>BW</w:t>
            </w:r>
            <w:r w:rsidRPr="00E33DE2">
              <w:rPr>
                <w:rFonts w:cs="Arial"/>
                <w:color w:val="FF0000"/>
                <w:vertAlign w:val="subscript"/>
              </w:rPr>
              <w:t>Config</w:t>
            </w:r>
            <w:r w:rsidRPr="00E33DE2">
              <w:rPr>
                <w:rFonts w:cs="v5.0.0"/>
                <w:color w:val="FF0000"/>
              </w:rPr>
              <w:t>)</w:t>
            </w:r>
          </w:p>
        </w:tc>
        <w:tc>
          <w:tcPr>
            <w:tcW w:w="912" w:type="dxa"/>
          </w:tcPr>
          <w:p w14:paraId="4AF94673" w14:textId="28092105" w:rsidR="00E33DE2" w:rsidRPr="00E33DE2" w:rsidRDefault="00E33DE2" w:rsidP="00A110DA">
            <w:pPr>
              <w:pStyle w:val="TAC"/>
              <w:rPr>
                <w:rFonts w:cs="v5.0.0"/>
                <w:color w:val="FF0000"/>
              </w:rPr>
            </w:pPr>
            <w:r>
              <w:rPr>
                <w:rFonts w:cs="v5.0.0"/>
                <w:color w:val="FF0000"/>
              </w:rPr>
              <w:t>30</w:t>
            </w:r>
            <w:r w:rsidRPr="00E33DE2">
              <w:rPr>
                <w:rFonts w:cs="v5.0.0"/>
                <w:color w:val="FF0000"/>
              </w:rPr>
              <w:t xml:space="preserve"> dB</w:t>
            </w:r>
          </w:p>
        </w:tc>
      </w:tr>
      <w:tr w:rsidR="00E33DE2" w:rsidRPr="00E33DE2" w14:paraId="1BBB6EC6" w14:textId="77777777" w:rsidTr="00A110DA">
        <w:trPr>
          <w:cantSplit/>
          <w:jc w:val="center"/>
        </w:trPr>
        <w:tc>
          <w:tcPr>
            <w:tcW w:w="9433" w:type="dxa"/>
            <w:gridSpan w:val="5"/>
          </w:tcPr>
          <w:p w14:paraId="5A1CBE3F" w14:textId="4FB6D93D" w:rsidR="00E33DE2" w:rsidRPr="00E33DE2" w:rsidRDefault="00E33DE2" w:rsidP="00E33DE2">
            <w:pPr>
              <w:pStyle w:val="TAN"/>
              <w:ind w:left="922" w:hanging="922"/>
              <w:rPr>
                <w:rFonts w:cs="Arial"/>
                <w:color w:val="FF0000"/>
              </w:rPr>
            </w:pPr>
            <w:r w:rsidRPr="00E33DE2">
              <w:rPr>
                <w:rFonts w:cs="Arial"/>
                <w:color w:val="FF0000"/>
              </w:rPr>
              <w:t>NOTE 1:</w:t>
            </w:r>
            <w:r w:rsidRPr="00E33DE2">
              <w:rPr>
                <w:rFonts w:cs="Arial"/>
                <w:color w:val="FF0000"/>
              </w:rPr>
              <w:tab/>
              <w:t>BW</w:t>
            </w:r>
            <w:r w:rsidRPr="00E33DE2">
              <w:rPr>
                <w:rFonts w:cs="Arial"/>
                <w:color w:val="FF0000"/>
                <w:vertAlign w:val="subscript"/>
              </w:rPr>
              <w:t>Channel</w:t>
            </w:r>
            <w:r w:rsidRPr="00E33DE2">
              <w:rPr>
                <w:rFonts w:cs="Arial"/>
                <w:color w:val="FF0000"/>
              </w:rPr>
              <w:t xml:space="preserve"> and BW</w:t>
            </w:r>
            <w:r w:rsidRPr="00E33DE2">
              <w:rPr>
                <w:rFonts w:cs="Arial"/>
                <w:color w:val="FF0000"/>
                <w:vertAlign w:val="subscript"/>
              </w:rPr>
              <w:t>Config</w:t>
            </w:r>
            <w:r w:rsidRPr="00E33DE2">
              <w:rPr>
                <w:rFonts w:cs="Arial"/>
                <w:color w:val="FF0000"/>
              </w:rPr>
              <w:t xml:space="preserve"> are the channel bandwidth and transmission bandwidth configuration of the E-UTRA </w:t>
            </w:r>
            <w:r w:rsidRPr="00E33DE2">
              <w:rPr>
                <w:rFonts w:eastAsia="SimSun" w:cs="Arial"/>
                <w:color w:val="FF0000"/>
              </w:rPr>
              <w:t>lowest (highest) carrier</w:t>
            </w:r>
            <w:r w:rsidRPr="00E33DE2">
              <w:rPr>
                <w:rFonts w:cs="Arial"/>
                <w:color w:val="FF0000"/>
              </w:rPr>
              <w:t xml:space="preserve"> transmitted on the assigned channel frequency.</w:t>
            </w:r>
          </w:p>
        </w:tc>
      </w:tr>
    </w:tbl>
    <w:p w14:paraId="257DF5CC" w14:textId="77777777" w:rsidR="00227191" w:rsidRPr="00026A8A" w:rsidRDefault="00227191" w:rsidP="00026A8A"/>
    <w:p w14:paraId="617E0DE3" w14:textId="77777777" w:rsidR="00027F27" w:rsidRDefault="0069757C" w:rsidP="00027F27">
      <w:pPr>
        <w:pStyle w:val="Heading1"/>
      </w:pPr>
      <w:r>
        <w:t>Conclusion</w:t>
      </w:r>
    </w:p>
    <w:p w14:paraId="3BE7A7DD" w14:textId="60CE8F90" w:rsidR="00DA1C0B" w:rsidRDefault="00A32D26" w:rsidP="00C3370A">
      <w:pPr>
        <w:jc w:val="both"/>
      </w:pPr>
      <w:r>
        <w:t xml:space="preserve">In this contribution </w:t>
      </w:r>
      <w:r w:rsidR="005E04D0">
        <w:t xml:space="preserve">we analysed </w:t>
      </w:r>
      <w:r w:rsidR="0047457E">
        <w:t>Base Station ACLR minimum requirement for LAA transmission in 5GHz</w:t>
      </w:r>
      <w:r w:rsidR="005E04D0">
        <w:t xml:space="preserve">. </w:t>
      </w:r>
      <w:r w:rsidR="0047457E">
        <w:t>Based on the already provided simulation results, and taking into account</w:t>
      </w:r>
      <w:r w:rsidR="00C51B95">
        <w:t xml:space="preserve"> </w:t>
      </w:r>
      <w:r w:rsidR="00416BCB">
        <w:t>implementation and cost aspects</w:t>
      </w:r>
      <w:r w:rsidR="0047457E">
        <w:t xml:space="preserve">: </w:t>
      </w:r>
    </w:p>
    <w:p w14:paraId="6159A1BE" w14:textId="55B4BAB3" w:rsidR="00227191" w:rsidRPr="00227191" w:rsidRDefault="00227191" w:rsidP="00227191">
      <w:pPr>
        <w:rPr>
          <w:b/>
          <w:i/>
        </w:rPr>
      </w:pPr>
      <w:r w:rsidRPr="00227191">
        <w:rPr>
          <w:b/>
          <w:i/>
        </w:rPr>
        <w:t xml:space="preserve">Proposal 1: </w:t>
      </w:r>
      <w:r>
        <w:rPr>
          <w:b/>
          <w:i/>
        </w:rPr>
        <w:t xml:space="preserve">Medium Range and Local Area BS ACLR for 5GHz band(s) should </w:t>
      </w:r>
      <w:r w:rsidR="00C44FE4">
        <w:rPr>
          <w:b/>
          <w:i/>
        </w:rPr>
        <w:t xml:space="preserve">be </w:t>
      </w:r>
      <w:r w:rsidR="001C34BA">
        <w:rPr>
          <w:b/>
          <w:i/>
        </w:rPr>
        <w:t>3</w:t>
      </w:r>
      <w:r w:rsidR="00C44FE4">
        <w:rPr>
          <w:b/>
          <w:i/>
        </w:rPr>
        <w:t>0dB</w:t>
      </w:r>
      <w:r>
        <w:rPr>
          <w:b/>
          <w:i/>
        </w:rPr>
        <w:t>.</w:t>
      </w:r>
    </w:p>
    <w:p w14:paraId="26135CF0" w14:textId="77777777" w:rsidR="00DA1C0B" w:rsidRPr="00DA1C0B" w:rsidRDefault="00DA1C0B" w:rsidP="005A049E">
      <w:pPr>
        <w:rPr>
          <w:b/>
          <w:i/>
          <w:lang w:val="en-US"/>
        </w:rPr>
      </w:pPr>
    </w:p>
    <w:p w14:paraId="4FE12400" w14:textId="77777777" w:rsidR="0077781E" w:rsidRDefault="0077781E" w:rsidP="009E43A5">
      <w:pPr>
        <w:rPr>
          <w:b/>
        </w:rPr>
      </w:pPr>
    </w:p>
    <w:p w14:paraId="0B2EF26A" w14:textId="77777777" w:rsidR="00A43791" w:rsidRDefault="00A43791" w:rsidP="00A43791">
      <w:pPr>
        <w:pStyle w:val="Heading1"/>
        <w:numPr>
          <w:ilvl w:val="0"/>
          <w:numId w:val="0"/>
        </w:numPr>
        <w:tabs>
          <w:tab w:val="num" w:pos="432"/>
        </w:tabs>
        <w:ind w:left="432" w:hanging="432"/>
        <w:rPr>
          <w:lang w:val="en-US"/>
        </w:rPr>
      </w:pPr>
      <w:r>
        <w:rPr>
          <w:lang w:val="en-US"/>
        </w:rPr>
        <w:t>Reference</w:t>
      </w:r>
    </w:p>
    <w:p w14:paraId="23167AE4" w14:textId="77777777" w:rsidR="00F83D30" w:rsidRPr="00F83D30" w:rsidRDefault="00A13CF6" w:rsidP="00F83D30">
      <w:pPr>
        <w:numPr>
          <w:ilvl w:val="0"/>
          <w:numId w:val="2"/>
        </w:numPr>
        <w:tabs>
          <w:tab w:val="left" w:pos="1080"/>
        </w:tabs>
        <w:rPr>
          <w:lang w:val="en-US"/>
        </w:rPr>
      </w:pPr>
      <w:bookmarkStart w:id="1" w:name="_Ref419388595"/>
      <w:bookmarkStart w:id="2" w:name="_Ref419289036"/>
      <w:r>
        <w:t>RP-151045, “New Work Item on Licensed-Assisted Access to Unlicensed Spectrum”, Ericsson, Huawei, Qualcomm, Alcatel-Lucent, RAN#68, June 2015</w:t>
      </w:r>
      <w:r w:rsidR="00F83D30">
        <w:rPr>
          <w:lang w:val="en-US"/>
        </w:rPr>
        <w:t>.</w:t>
      </w:r>
      <w:bookmarkEnd w:id="1"/>
    </w:p>
    <w:p w14:paraId="30754104" w14:textId="77777777" w:rsidR="00A43791" w:rsidRPr="00DA27A7" w:rsidRDefault="0017771E" w:rsidP="0017771E">
      <w:pPr>
        <w:numPr>
          <w:ilvl w:val="0"/>
          <w:numId w:val="2"/>
        </w:numPr>
        <w:tabs>
          <w:tab w:val="left" w:pos="1080"/>
        </w:tabs>
        <w:rPr>
          <w:lang w:val="en-US"/>
        </w:rPr>
      </w:pPr>
      <w:bookmarkStart w:id="3" w:name="_Ref425855285"/>
      <w:bookmarkEnd w:id="2"/>
      <w:r w:rsidRPr="0017771E">
        <w:rPr>
          <w:noProof/>
        </w:rPr>
        <w:t>R4-153878</w:t>
      </w:r>
      <w:r>
        <w:rPr>
          <w:noProof/>
        </w:rPr>
        <w:t>, “</w:t>
      </w:r>
      <w:r w:rsidRPr="0017771E">
        <w:rPr>
          <w:noProof/>
        </w:rPr>
        <w:t>TP for 36.889: Band plan for unlicensed spectrum in 5GHz</w:t>
      </w:r>
      <w:r>
        <w:rPr>
          <w:noProof/>
        </w:rPr>
        <w:t xml:space="preserve">”, </w:t>
      </w:r>
      <w:r w:rsidRPr="0017771E">
        <w:rPr>
          <w:noProof/>
        </w:rPr>
        <w:t>Ericsson, Qualcomm, Intel, Nokia Networks, Huawei</w:t>
      </w:r>
      <w:r>
        <w:rPr>
          <w:noProof/>
        </w:rPr>
        <w:t>, May 2015.</w:t>
      </w:r>
      <w:bookmarkEnd w:id="3"/>
    </w:p>
    <w:p w14:paraId="1D4BF52C" w14:textId="77777777" w:rsidR="00DA27A7" w:rsidRDefault="00DA27A7" w:rsidP="00DA27A7">
      <w:pPr>
        <w:numPr>
          <w:ilvl w:val="0"/>
          <w:numId w:val="2"/>
        </w:numPr>
        <w:tabs>
          <w:tab w:val="left" w:pos="1080"/>
        </w:tabs>
        <w:rPr>
          <w:lang w:val="en-US"/>
        </w:rPr>
      </w:pPr>
      <w:bookmarkStart w:id="4" w:name="_Ref425857735"/>
      <w:r w:rsidRPr="00DA27A7">
        <w:rPr>
          <w:lang w:val="en-US"/>
        </w:rPr>
        <w:t>3GPP TR 36.889 V13.0.0 (2015-06)</w:t>
      </w:r>
      <w:r>
        <w:rPr>
          <w:lang w:val="en-US"/>
        </w:rPr>
        <w:t>, “</w:t>
      </w:r>
      <w:r>
        <w:rPr>
          <w:rFonts w:eastAsia="MS Mincho"/>
        </w:rPr>
        <w:t>Study on Licensed-Assisted Access to Unlicensed Spectrum</w:t>
      </w:r>
      <w:r>
        <w:rPr>
          <w:lang w:val="en-US"/>
        </w:rPr>
        <w:t>”.</w:t>
      </w:r>
      <w:bookmarkEnd w:id="4"/>
    </w:p>
    <w:p w14:paraId="06094DBD" w14:textId="77777777" w:rsidR="00D15807" w:rsidRDefault="009E20D6" w:rsidP="009E20D6">
      <w:pPr>
        <w:numPr>
          <w:ilvl w:val="0"/>
          <w:numId w:val="2"/>
        </w:numPr>
        <w:tabs>
          <w:tab w:val="left" w:pos="1080"/>
        </w:tabs>
        <w:rPr>
          <w:lang w:val="en-US"/>
        </w:rPr>
      </w:pPr>
      <w:bookmarkStart w:id="5" w:name="_Ref425860957"/>
      <w:r w:rsidRPr="009E20D6">
        <w:rPr>
          <w:lang w:val="en-US"/>
        </w:rPr>
        <w:t>R4-153540</w:t>
      </w:r>
      <w:r>
        <w:rPr>
          <w:lang w:val="en-US"/>
        </w:rPr>
        <w:t>, “</w:t>
      </w:r>
      <w:r w:rsidRPr="009E20D6">
        <w:rPr>
          <w:lang w:val="en-US"/>
        </w:rPr>
        <w:t>Band plan for unlicensed spectrum in 5GHz</w:t>
      </w:r>
      <w:r>
        <w:rPr>
          <w:lang w:val="en-US"/>
        </w:rPr>
        <w:t xml:space="preserve">”, </w:t>
      </w:r>
      <w:r w:rsidRPr="009E20D6">
        <w:rPr>
          <w:lang w:val="en-US"/>
        </w:rPr>
        <w:t>Ericsson, Qualcomm, Intel, Nokia Networks</w:t>
      </w:r>
      <w:r>
        <w:rPr>
          <w:lang w:val="en-US"/>
        </w:rPr>
        <w:t>, May 2015.</w:t>
      </w:r>
      <w:bookmarkEnd w:id="5"/>
    </w:p>
    <w:p w14:paraId="29CBADCB" w14:textId="02C3CE82" w:rsidR="00C42DA4" w:rsidRDefault="00C42DA4" w:rsidP="00C42DA4">
      <w:pPr>
        <w:numPr>
          <w:ilvl w:val="0"/>
          <w:numId w:val="2"/>
        </w:numPr>
        <w:tabs>
          <w:tab w:val="left" w:pos="1080"/>
        </w:tabs>
        <w:rPr>
          <w:lang w:val="en-US"/>
        </w:rPr>
      </w:pPr>
      <w:bookmarkStart w:id="6" w:name="_Ref427232686"/>
      <w:r w:rsidRPr="009E20D6">
        <w:rPr>
          <w:lang w:val="en-US"/>
        </w:rPr>
        <w:t>R4-153540</w:t>
      </w:r>
      <w:r>
        <w:rPr>
          <w:lang w:val="en-US"/>
        </w:rPr>
        <w:t>, “</w:t>
      </w:r>
      <w:r w:rsidRPr="00C42DA4">
        <w:rPr>
          <w:lang w:val="en-US"/>
        </w:rPr>
        <w:t>LAA to LAA adjacent channel coexistence requirements</w:t>
      </w:r>
      <w:r>
        <w:rPr>
          <w:lang w:val="en-US"/>
        </w:rPr>
        <w:t>”, Qualcomm, May 2015.</w:t>
      </w:r>
      <w:bookmarkEnd w:id="6"/>
    </w:p>
    <w:p w14:paraId="5D8642F6" w14:textId="5211A78B" w:rsidR="00C42DA4" w:rsidRDefault="00C42DA4" w:rsidP="00C42DA4">
      <w:pPr>
        <w:numPr>
          <w:ilvl w:val="0"/>
          <w:numId w:val="2"/>
        </w:numPr>
        <w:tabs>
          <w:tab w:val="left" w:pos="1080"/>
        </w:tabs>
        <w:rPr>
          <w:lang w:val="en-US"/>
        </w:rPr>
      </w:pPr>
      <w:bookmarkStart w:id="7" w:name="_Ref427232688"/>
      <w:r>
        <w:rPr>
          <w:lang w:val="en-US"/>
        </w:rPr>
        <w:t>R4-153538, “</w:t>
      </w:r>
      <w:r w:rsidRPr="00C42DA4">
        <w:rPr>
          <w:lang w:val="en-US"/>
        </w:rPr>
        <w:t>Adjacent channel coexistence evaluations for LAA-LAA deployment scenario</w:t>
      </w:r>
      <w:r>
        <w:rPr>
          <w:lang w:val="en-US"/>
        </w:rPr>
        <w:t xml:space="preserve">”, </w:t>
      </w:r>
      <w:r w:rsidRPr="00C42DA4">
        <w:rPr>
          <w:lang w:val="en-US"/>
        </w:rPr>
        <w:t>Ericsson</w:t>
      </w:r>
      <w:r>
        <w:rPr>
          <w:lang w:val="en-US"/>
        </w:rPr>
        <w:t>, May 2015.</w:t>
      </w:r>
      <w:bookmarkEnd w:id="7"/>
    </w:p>
    <w:p w14:paraId="2DF7FA58" w14:textId="77777777" w:rsidR="00F83D30" w:rsidRPr="00A43791" w:rsidRDefault="00F83D30" w:rsidP="00F83D30">
      <w:pPr>
        <w:tabs>
          <w:tab w:val="left" w:pos="1080"/>
        </w:tabs>
        <w:ind w:left="360"/>
        <w:rPr>
          <w:lang w:val="en-US"/>
        </w:rPr>
      </w:pPr>
    </w:p>
    <w:p w14:paraId="1D4BBBAA" w14:textId="77777777" w:rsidR="00FD6938" w:rsidRDefault="00FD6938" w:rsidP="00141051"/>
    <w:p w14:paraId="7D6B3D59" w14:textId="77777777" w:rsidR="00FD6938" w:rsidRDefault="00FD6938" w:rsidP="00FD6938">
      <w:pPr>
        <w:tabs>
          <w:tab w:val="left" w:pos="1080"/>
        </w:tabs>
      </w:pPr>
    </w:p>
    <w:p w14:paraId="161D824F" w14:textId="77777777" w:rsidR="00FD6938" w:rsidRDefault="00FD6938" w:rsidP="00FD6938">
      <w:pPr>
        <w:tabs>
          <w:tab w:val="left" w:pos="1080"/>
        </w:tabs>
        <w:rPr>
          <w:lang w:val="en-US" w:eastAsia="x-none"/>
        </w:rPr>
      </w:pPr>
    </w:p>
    <w:sectPr w:rsidR="00FD6938"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082E5B" w14:textId="77777777" w:rsidR="00E502C3" w:rsidRDefault="00E502C3">
      <w:r>
        <w:separator/>
      </w:r>
    </w:p>
  </w:endnote>
  <w:endnote w:type="continuationSeparator" w:id="0">
    <w:p w14:paraId="4D3C2058" w14:textId="77777777" w:rsidR="00E502C3" w:rsidRDefault="00E50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C35CD2" w:rsidRDefault="00C35C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C35CD2" w:rsidRDefault="00C35CD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C35CD2" w:rsidRDefault="00C35C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B394F">
      <w:rPr>
        <w:rStyle w:val="PageNumber"/>
      </w:rPr>
      <w:t>2</w:t>
    </w:r>
    <w:r>
      <w:rPr>
        <w:rStyle w:val="PageNumber"/>
      </w:rPr>
      <w:fldChar w:fldCharType="end"/>
    </w:r>
  </w:p>
  <w:p w14:paraId="40DAC66D" w14:textId="77777777" w:rsidR="00C35CD2" w:rsidRDefault="00C35CD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3E92A3" w14:textId="77777777" w:rsidR="00E502C3" w:rsidRDefault="00E502C3">
      <w:r>
        <w:separator/>
      </w:r>
    </w:p>
  </w:footnote>
  <w:footnote w:type="continuationSeparator" w:id="0">
    <w:p w14:paraId="12D00B29" w14:textId="77777777" w:rsidR="00E502C3" w:rsidRDefault="00E502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75F4D"/>
    <w:multiLevelType w:val="hybridMultilevel"/>
    <w:tmpl w:val="966A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4E750B"/>
    <w:multiLevelType w:val="hybridMultilevel"/>
    <w:tmpl w:val="1278C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9371CC"/>
    <w:multiLevelType w:val="hybridMultilevel"/>
    <w:tmpl w:val="13F62F1E"/>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12306C5F"/>
    <w:multiLevelType w:val="hybridMultilevel"/>
    <w:tmpl w:val="9AD42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9C74D2"/>
    <w:multiLevelType w:val="hybridMultilevel"/>
    <w:tmpl w:val="EBAEF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545B73"/>
    <w:multiLevelType w:val="hybridMultilevel"/>
    <w:tmpl w:val="40821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8E0063"/>
    <w:multiLevelType w:val="hybridMultilevel"/>
    <w:tmpl w:val="ECC86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A215D"/>
    <w:multiLevelType w:val="hybridMultilevel"/>
    <w:tmpl w:val="515A7DD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42B047C"/>
    <w:multiLevelType w:val="hybridMultilevel"/>
    <w:tmpl w:val="5114B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17"/>
  </w:num>
  <w:num w:numId="3">
    <w:abstractNumId w:val="19"/>
  </w:num>
  <w:num w:numId="4">
    <w:abstractNumId w:val="20"/>
  </w:num>
  <w:num w:numId="5">
    <w:abstractNumId w:val="15"/>
  </w:num>
  <w:num w:numId="6">
    <w:abstractNumId w:val="9"/>
  </w:num>
  <w:num w:numId="7">
    <w:abstractNumId w:val="3"/>
  </w:num>
  <w:num w:numId="8">
    <w:abstractNumId w:val="18"/>
  </w:num>
  <w:num w:numId="9">
    <w:abstractNumId w:val="10"/>
  </w:num>
  <w:num w:numId="10">
    <w:abstractNumId w:val="14"/>
  </w:num>
  <w:num w:numId="11">
    <w:abstractNumId w:val="21"/>
  </w:num>
  <w:num w:numId="12">
    <w:abstractNumId w:val="2"/>
  </w:num>
  <w:num w:numId="13">
    <w:abstractNumId w:val="12"/>
  </w:num>
  <w:num w:numId="14">
    <w:abstractNumId w:val="11"/>
  </w:num>
  <w:num w:numId="15">
    <w:abstractNumId w:val="0"/>
  </w:num>
  <w:num w:numId="16">
    <w:abstractNumId w:val="7"/>
  </w:num>
  <w:num w:numId="17">
    <w:abstractNumId w:val="4"/>
  </w:num>
  <w:num w:numId="18">
    <w:abstractNumId w:val="5"/>
  </w:num>
  <w:num w:numId="19">
    <w:abstractNumId w:val="16"/>
  </w:num>
  <w:num w:numId="20">
    <w:abstractNumId w:val="8"/>
  </w:num>
  <w:num w:numId="21">
    <w:abstractNumId w:val="6"/>
  </w:num>
  <w:num w:numId="2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EE0"/>
    <w:rsid w:val="0001181D"/>
    <w:rsid w:val="00011B0B"/>
    <w:rsid w:val="00011C44"/>
    <w:rsid w:val="00012B14"/>
    <w:rsid w:val="000138F3"/>
    <w:rsid w:val="00013A12"/>
    <w:rsid w:val="0001409E"/>
    <w:rsid w:val="0001465F"/>
    <w:rsid w:val="00014FFF"/>
    <w:rsid w:val="000162FA"/>
    <w:rsid w:val="000167F5"/>
    <w:rsid w:val="00016A3A"/>
    <w:rsid w:val="0001723C"/>
    <w:rsid w:val="00017A58"/>
    <w:rsid w:val="00017CD3"/>
    <w:rsid w:val="00020464"/>
    <w:rsid w:val="00020690"/>
    <w:rsid w:val="0002180A"/>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68C"/>
    <w:rsid w:val="00036F82"/>
    <w:rsid w:val="000378CF"/>
    <w:rsid w:val="0003794F"/>
    <w:rsid w:val="00037F8C"/>
    <w:rsid w:val="000420FB"/>
    <w:rsid w:val="00043184"/>
    <w:rsid w:val="00043D07"/>
    <w:rsid w:val="000446FD"/>
    <w:rsid w:val="0004511D"/>
    <w:rsid w:val="00045318"/>
    <w:rsid w:val="00045774"/>
    <w:rsid w:val="00045F53"/>
    <w:rsid w:val="0004795F"/>
    <w:rsid w:val="00047A40"/>
    <w:rsid w:val="00047BD8"/>
    <w:rsid w:val="00051030"/>
    <w:rsid w:val="00052BBE"/>
    <w:rsid w:val="00053E42"/>
    <w:rsid w:val="000549BA"/>
    <w:rsid w:val="000550EF"/>
    <w:rsid w:val="00055B21"/>
    <w:rsid w:val="000601B0"/>
    <w:rsid w:val="00062E5A"/>
    <w:rsid w:val="00062F52"/>
    <w:rsid w:val="00063000"/>
    <w:rsid w:val="0006427B"/>
    <w:rsid w:val="000642D1"/>
    <w:rsid w:val="0006440F"/>
    <w:rsid w:val="00066EEB"/>
    <w:rsid w:val="00070561"/>
    <w:rsid w:val="00070ECC"/>
    <w:rsid w:val="000724BF"/>
    <w:rsid w:val="000737DA"/>
    <w:rsid w:val="000753CE"/>
    <w:rsid w:val="0007555F"/>
    <w:rsid w:val="00076DB9"/>
    <w:rsid w:val="00077FE0"/>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6860"/>
    <w:rsid w:val="000972E8"/>
    <w:rsid w:val="00097818"/>
    <w:rsid w:val="000A1326"/>
    <w:rsid w:val="000A1A26"/>
    <w:rsid w:val="000A2153"/>
    <w:rsid w:val="000A2A53"/>
    <w:rsid w:val="000A2D07"/>
    <w:rsid w:val="000A31E0"/>
    <w:rsid w:val="000A3A69"/>
    <w:rsid w:val="000A3BD7"/>
    <w:rsid w:val="000A561C"/>
    <w:rsid w:val="000A6602"/>
    <w:rsid w:val="000A697D"/>
    <w:rsid w:val="000A786A"/>
    <w:rsid w:val="000A79E3"/>
    <w:rsid w:val="000B0B23"/>
    <w:rsid w:val="000B2203"/>
    <w:rsid w:val="000B24B0"/>
    <w:rsid w:val="000B2A42"/>
    <w:rsid w:val="000B2EFB"/>
    <w:rsid w:val="000B327D"/>
    <w:rsid w:val="000B37AA"/>
    <w:rsid w:val="000B434A"/>
    <w:rsid w:val="000B4A4D"/>
    <w:rsid w:val="000B5030"/>
    <w:rsid w:val="000B5EE7"/>
    <w:rsid w:val="000B5FC6"/>
    <w:rsid w:val="000B6D46"/>
    <w:rsid w:val="000B6D65"/>
    <w:rsid w:val="000C084C"/>
    <w:rsid w:val="000C086D"/>
    <w:rsid w:val="000C0B1F"/>
    <w:rsid w:val="000C0FD7"/>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7224"/>
    <w:rsid w:val="000D7652"/>
    <w:rsid w:val="000E0602"/>
    <w:rsid w:val="000E1041"/>
    <w:rsid w:val="000E1046"/>
    <w:rsid w:val="000E2C23"/>
    <w:rsid w:val="000E3B40"/>
    <w:rsid w:val="000E3D46"/>
    <w:rsid w:val="000E3DD1"/>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ECD"/>
    <w:rsid w:val="00131FD4"/>
    <w:rsid w:val="00133FDC"/>
    <w:rsid w:val="0013513B"/>
    <w:rsid w:val="0013546D"/>
    <w:rsid w:val="00135E13"/>
    <w:rsid w:val="00136BDF"/>
    <w:rsid w:val="0013754C"/>
    <w:rsid w:val="00141051"/>
    <w:rsid w:val="00142046"/>
    <w:rsid w:val="00142612"/>
    <w:rsid w:val="001430CD"/>
    <w:rsid w:val="00144026"/>
    <w:rsid w:val="00144095"/>
    <w:rsid w:val="001445CF"/>
    <w:rsid w:val="001469DA"/>
    <w:rsid w:val="0014774C"/>
    <w:rsid w:val="00150F51"/>
    <w:rsid w:val="001516D8"/>
    <w:rsid w:val="00151825"/>
    <w:rsid w:val="00151ABA"/>
    <w:rsid w:val="0015239C"/>
    <w:rsid w:val="00154025"/>
    <w:rsid w:val="001553C6"/>
    <w:rsid w:val="0015760F"/>
    <w:rsid w:val="0016046E"/>
    <w:rsid w:val="0016136A"/>
    <w:rsid w:val="001619CC"/>
    <w:rsid w:val="00161FE8"/>
    <w:rsid w:val="001624B9"/>
    <w:rsid w:val="00162645"/>
    <w:rsid w:val="00163472"/>
    <w:rsid w:val="00163997"/>
    <w:rsid w:val="001679C5"/>
    <w:rsid w:val="00170570"/>
    <w:rsid w:val="00170C0A"/>
    <w:rsid w:val="00171D36"/>
    <w:rsid w:val="00174BD8"/>
    <w:rsid w:val="00175C29"/>
    <w:rsid w:val="00175EB8"/>
    <w:rsid w:val="00176652"/>
    <w:rsid w:val="00176945"/>
    <w:rsid w:val="001771D5"/>
    <w:rsid w:val="0017771E"/>
    <w:rsid w:val="00177970"/>
    <w:rsid w:val="00177F69"/>
    <w:rsid w:val="0018021E"/>
    <w:rsid w:val="00180E49"/>
    <w:rsid w:val="00181289"/>
    <w:rsid w:val="00182838"/>
    <w:rsid w:val="001842E4"/>
    <w:rsid w:val="0018555B"/>
    <w:rsid w:val="00185893"/>
    <w:rsid w:val="00186488"/>
    <w:rsid w:val="0018788E"/>
    <w:rsid w:val="00187E14"/>
    <w:rsid w:val="001905F3"/>
    <w:rsid w:val="00190F12"/>
    <w:rsid w:val="00191016"/>
    <w:rsid w:val="00192293"/>
    <w:rsid w:val="001925A9"/>
    <w:rsid w:val="00193142"/>
    <w:rsid w:val="00193747"/>
    <w:rsid w:val="00194403"/>
    <w:rsid w:val="00195150"/>
    <w:rsid w:val="001A164F"/>
    <w:rsid w:val="001A1B9D"/>
    <w:rsid w:val="001A1D6F"/>
    <w:rsid w:val="001A24F6"/>
    <w:rsid w:val="001A35DF"/>
    <w:rsid w:val="001A4813"/>
    <w:rsid w:val="001A4C57"/>
    <w:rsid w:val="001A50B1"/>
    <w:rsid w:val="001A658B"/>
    <w:rsid w:val="001A6604"/>
    <w:rsid w:val="001A79A4"/>
    <w:rsid w:val="001B0041"/>
    <w:rsid w:val="001B0F6F"/>
    <w:rsid w:val="001B12B5"/>
    <w:rsid w:val="001B180F"/>
    <w:rsid w:val="001B2837"/>
    <w:rsid w:val="001B2F8C"/>
    <w:rsid w:val="001B3291"/>
    <w:rsid w:val="001B4DD5"/>
    <w:rsid w:val="001B58A4"/>
    <w:rsid w:val="001B5E69"/>
    <w:rsid w:val="001B6982"/>
    <w:rsid w:val="001B6B77"/>
    <w:rsid w:val="001C22CF"/>
    <w:rsid w:val="001C34BA"/>
    <w:rsid w:val="001C3588"/>
    <w:rsid w:val="001C3FC8"/>
    <w:rsid w:val="001C41EF"/>
    <w:rsid w:val="001C4AAD"/>
    <w:rsid w:val="001C584C"/>
    <w:rsid w:val="001C5DB8"/>
    <w:rsid w:val="001D002A"/>
    <w:rsid w:val="001D04B9"/>
    <w:rsid w:val="001D134E"/>
    <w:rsid w:val="001D1447"/>
    <w:rsid w:val="001D1841"/>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1023"/>
    <w:rsid w:val="001E1C0D"/>
    <w:rsid w:val="001E2ABF"/>
    <w:rsid w:val="001E2C3E"/>
    <w:rsid w:val="001E31EE"/>
    <w:rsid w:val="001E3856"/>
    <w:rsid w:val="001E4C42"/>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86D"/>
    <w:rsid w:val="001F7D63"/>
    <w:rsid w:val="00200D15"/>
    <w:rsid w:val="002019FF"/>
    <w:rsid w:val="00201CA6"/>
    <w:rsid w:val="0020242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33CA"/>
    <w:rsid w:val="002142D2"/>
    <w:rsid w:val="0021437D"/>
    <w:rsid w:val="00216158"/>
    <w:rsid w:val="0021749B"/>
    <w:rsid w:val="002175F8"/>
    <w:rsid w:val="00220952"/>
    <w:rsid w:val="00221BA7"/>
    <w:rsid w:val="002247C0"/>
    <w:rsid w:val="00227191"/>
    <w:rsid w:val="00230C94"/>
    <w:rsid w:val="00230EB7"/>
    <w:rsid w:val="00230EC6"/>
    <w:rsid w:val="00231913"/>
    <w:rsid w:val="00234C5F"/>
    <w:rsid w:val="00236663"/>
    <w:rsid w:val="00236C6E"/>
    <w:rsid w:val="00236FAA"/>
    <w:rsid w:val="00237E42"/>
    <w:rsid w:val="0024002C"/>
    <w:rsid w:val="002420FA"/>
    <w:rsid w:val="0024341E"/>
    <w:rsid w:val="00245579"/>
    <w:rsid w:val="002461C3"/>
    <w:rsid w:val="00250EF2"/>
    <w:rsid w:val="00251B67"/>
    <w:rsid w:val="00252C82"/>
    <w:rsid w:val="00252C9A"/>
    <w:rsid w:val="002541E7"/>
    <w:rsid w:val="00254888"/>
    <w:rsid w:val="00255927"/>
    <w:rsid w:val="002559A4"/>
    <w:rsid w:val="00255C09"/>
    <w:rsid w:val="002560F6"/>
    <w:rsid w:val="00256328"/>
    <w:rsid w:val="0025665A"/>
    <w:rsid w:val="00257344"/>
    <w:rsid w:val="00257F31"/>
    <w:rsid w:val="00260006"/>
    <w:rsid w:val="002604B0"/>
    <w:rsid w:val="00261335"/>
    <w:rsid w:val="002623A5"/>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F2"/>
    <w:rsid w:val="002865FA"/>
    <w:rsid w:val="002869C0"/>
    <w:rsid w:val="00290FB2"/>
    <w:rsid w:val="002921C4"/>
    <w:rsid w:val="002932EC"/>
    <w:rsid w:val="00296186"/>
    <w:rsid w:val="00296805"/>
    <w:rsid w:val="00296B7E"/>
    <w:rsid w:val="00296FCC"/>
    <w:rsid w:val="002976AF"/>
    <w:rsid w:val="00297836"/>
    <w:rsid w:val="002A0409"/>
    <w:rsid w:val="002A129F"/>
    <w:rsid w:val="002A1AD8"/>
    <w:rsid w:val="002A23C7"/>
    <w:rsid w:val="002A3BFD"/>
    <w:rsid w:val="002A5A2D"/>
    <w:rsid w:val="002A679B"/>
    <w:rsid w:val="002A6ED0"/>
    <w:rsid w:val="002B02CB"/>
    <w:rsid w:val="002B05C7"/>
    <w:rsid w:val="002B11FF"/>
    <w:rsid w:val="002B1C8F"/>
    <w:rsid w:val="002B1D83"/>
    <w:rsid w:val="002B2C2C"/>
    <w:rsid w:val="002B2C81"/>
    <w:rsid w:val="002B40E0"/>
    <w:rsid w:val="002B43AE"/>
    <w:rsid w:val="002B4D6F"/>
    <w:rsid w:val="002B6395"/>
    <w:rsid w:val="002B75CC"/>
    <w:rsid w:val="002C034B"/>
    <w:rsid w:val="002C27CE"/>
    <w:rsid w:val="002C3188"/>
    <w:rsid w:val="002C4E58"/>
    <w:rsid w:val="002C4F68"/>
    <w:rsid w:val="002C7B2B"/>
    <w:rsid w:val="002C7C8C"/>
    <w:rsid w:val="002C7CC0"/>
    <w:rsid w:val="002D087B"/>
    <w:rsid w:val="002D0BCE"/>
    <w:rsid w:val="002D0C99"/>
    <w:rsid w:val="002D2365"/>
    <w:rsid w:val="002D282D"/>
    <w:rsid w:val="002D4919"/>
    <w:rsid w:val="002D4A80"/>
    <w:rsid w:val="002D5DDD"/>
    <w:rsid w:val="002E173F"/>
    <w:rsid w:val="002E1743"/>
    <w:rsid w:val="002E1E6C"/>
    <w:rsid w:val="002E272E"/>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EC9"/>
    <w:rsid w:val="00304EE3"/>
    <w:rsid w:val="00305E70"/>
    <w:rsid w:val="0030648A"/>
    <w:rsid w:val="0031040B"/>
    <w:rsid w:val="00311D14"/>
    <w:rsid w:val="00312EF8"/>
    <w:rsid w:val="00314DB7"/>
    <w:rsid w:val="00315017"/>
    <w:rsid w:val="00316A23"/>
    <w:rsid w:val="00320B8A"/>
    <w:rsid w:val="00322EBD"/>
    <w:rsid w:val="00323F04"/>
    <w:rsid w:val="00324937"/>
    <w:rsid w:val="00325C68"/>
    <w:rsid w:val="00325D20"/>
    <w:rsid w:val="00326129"/>
    <w:rsid w:val="0032671E"/>
    <w:rsid w:val="003267B9"/>
    <w:rsid w:val="00327B03"/>
    <w:rsid w:val="00327EF9"/>
    <w:rsid w:val="00327FCD"/>
    <w:rsid w:val="00330243"/>
    <w:rsid w:val="00330DE0"/>
    <w:rsid w:val="00330EA3"/>
    <w:rsid w:val="00330F43"/>
    <w:rsid w:val="003324CA"/>
    <w:rsid w:val="00332DD8"/>
    <w:rsid w:val="00332E3C"/>
    <w:rsid w:val="00333865"/>
    <w:rsid w:val="003348EF"/>
    <w:rsid w:val="003359A3"/>
    <w:rsid w:val="003370EF"/>
    <w:rsid w:val="00337613"/>
    <w:rsid w:val="00337A5E"/>
    <w:rsid w:val="0034157C"/>
    <w:rsid w:val="00341F00"/>
    <w:rsid w:val="003427F4"/>
    <w:rsid w:val="00345CDD"/>
    <w:rsid w:val="00345FF9"/>
    <w:rsid w:val="0034613F"/>
    <w:rsid w:val="0034670C"/>
    <w:rsid w:val="00346BAD"/>
    <w:rsid w:val="003478F5"/>
    <w:rsid w:val="0035071D"/>
    <w:rsid w:val="003508AD"/>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70CDE"/>
    <w:rsid w:val="003710AC"/>
    <w:rsid w:val="003720AD"/>
    <w:rsid w:val="00372B4A"/>
    <w:rsid w:val="00373574"/>
    <w:rsid w:val="003771B4"/>
    <w:rsid w:val="00377C74"/>
    <w:rsid w:val="00380411"/>
    <w:rsid w:val="00380CA3"/>
    <w:rsid w:val="00380D90"/>
    <w:rsid w:val="00381587"/>
    <w:rsid w:val="003818FB"/>
    <w:rsid w:val="00382216"/>
    <w:rsid w:val="0038237B"/>
    <w:rsid w:val="0038297C"/>
    <w:rsid w:val="00383432"/>
    <w:rsid w:val="00383571"/>
    <w:rsid w:val="00385043"/>
    <w:rsid w:val="00385D57"/>
    <w:rsid w:val="003861E5"/>
    <w:rsid w:val="00387BA4"/>
    <w:rsid w:val="00390B43"/>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3BF9"/>
    <w:rsid w:val="003B3D77"/>
    <w:rsid w:val="003B53D8"/>
    <w:rsid w:val="003B5714"/>
    <w:rsid w:val="003B5F4D"/>
    <w:rsid w:val="003C06DA"/>
    <w:rsid w:val="003C1867"/>
    <w:rsid w:val="003C2936"/>
    <w:rsid w:val="003C2F7F"/>
    <w:rsid w:val="003C37C2"/>
    <w:rsid w:val="003C4768"/>
    <w:rsid w:val="003C51B6"/>
    <w:rsid w:val="003C5C72"/>
    <w:rsid w:val="003C6439"/>
    <w:rsid w:val="003C675A"/>
    <w:rsid w:val="003C7753"/>
    <w:rsid w:val="003C7927"/>
    <w:rsid w:val="003D0345"/>
    <w:rsid w:val="003D0A93"/>
    <w:rsid w:val="003D1991"/>
    <w:rsid w:val="003D1B40"/>
    <w:rsid w:val="003D1EFA"/>
    <w:rsid w:val="003D246C"/>
    <w:rsid w:val="003D2A12"/>
    <w:rsid w:val="003D3513"/>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1282"/>
    <w:rsid w:val="003F1985"/>
    <w:rsid w:val="003F1A0E"/>
    <w:rsid w:val="003F1CE1"/>
    <w:rsid w:val="003F28F9"/>
    <w:rsid w:val="003F2DA5"/>
    <w:rsid w:val="003F2E56"/>
    <w:rsid w:val="003F3C05"/>
    <w:rsid w:val="003F491F"/>
    <w:rsid w:val="003F5079"/>
    <w:rsid w:val="003F5320"/>
    <w:rsid w:val="003F54D2"/>
    <w:rsid w:val="003F5ADC"/>
    <w:rsid w:val="00400A7A"/>
    <w:rsid w:val="00400EC1"/>
    <w:rsid w:val="00402A31"/>
    <w:rsid w:val="00403F04"/>
    <w:rsid w:val="004045B3"/>
    <w:rsid w:val="004056A3"/>
    <w:rsid w:val="00405F8D"/>
    <w:rsid w:val="004073F3"/>
    <w:rsid w:val="004079A4"/>
    <w:rsid w:val="00407A40"/>
    <w:rsid w:val="004105DB"/>
    <w:rsid w:val="00411DE9"/>
    <w:rsid w:val="004148FF"/>
    <w:rsid w:val="00414BD6"/>
    <w:rsid w:val="00415201"/>
    <w:rsid w:val="00416B73"/>
    <w:rsid w:val="00416BCB"/>
    <w:rsid w:val="00416EE8"/>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17A7"/>
    <w:rsid w:val="00454DF4"/>
    <w:rsid w:val="00454FAD"/>
    <w:rsid w:val="00455884"/>
    <w:rsid w:val="00456226"/>
    <w:rsid w:val="00457EE2"/>
    <w:rsid w:val="0046187A"/>
    <w:rsid w:val="00461BEC"/>
    <w:rsid w:val="00461ECB"/>
    <w:rsid w:val="00462F48"/>
    <w:rsid w:val="00463B2B"/>
    <w:rsid w:val="00464A7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57E"/>
    <w:rsid w:val="00474729"/>
    <w:rsid w:val="00475ACA"/>
    <w:rsid w:val="00476B1E"/>
    <w:rsid w:val="00477349"/>
    <w:rsid w:val="00477AFF"/>
    <w:rsid w:val="00482B06"/>
    <w:rsid w:val="00482C99"/>
    <w:rsid w:val="0048385F"/>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519B"/>
    <w:rsid w:val="00495637"/>
    <w:rsid w:val="0049580B"/>
    <w:rsid w:val="00495E5F"/>
    <w:rsid w:val="00495E6C"/>
    <w:rsid w:val="00496D08"/>
    <w:rsid w:val="00496D59"/>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4DC7"/>
    <w:rsid w:val="004B50D1"/>
    <w:rsid w:val="004B55C6"/>
    <w:rsid w:val="004B6441"/>
    <w:rsid w:val="004B64D8"/>
    <w:rsid w:val="004B7689"/>
    <w:rsid w:val="004C01F2"/>
    <w:rsid w:val="004C0D02"/>
    <w:rsid w:val="004C149D"/>
    <w:rsid w:val="004C1A8E"/>
    <w:rsid w:val="004C226E"/>
    <w:rsid w:val="004C321F"/>
    <w:rsid w:val="004C6A32"/>
    <w:rsid w:val="004C6DCA"/>
    <w:rsid w:val="004C72C7"/>
    <w:rsid w:val="004C7862"/>
    <w:rsid w:val="004C7A22"/>
    <w:rsid w:val="004D0378"/>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21297"/>
    <w:rsid w:val="00524D75"/>
    <w:rsid w:val="005250F6"/>
    <w:rsid w:val="00525E31"/>
    <w:rsid w:val="005262F0"/>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833"/>
    <w:rsid w:val="00537260"/>
    <w:rsid w:val="00537F2E"/>
    <w:rsid w:val="0054008E"/>
    <w:rsid w:val="00540AD9"/>
    <w:rsid w:val="00541355"/>
    <w:rsid w:val="00541B5E"/>
    <w:rsid w:val="00543144"/>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88B"/>
    <w:rsid w:val="00562C3D"/>
    <w:rsid w:val="00563F76"/>
    <w:rsid w:val="005648D7"/>
    <w:rsid w:val="00565866"/>
    <w:rsid w:val="0056774B"/>
    <w:rsid w:val="00570586"/>
    <w:rsid w:val="005719CC"/>
    <w:rsid w:val="00571CF8"/>
    <w:rsid w:val="00572669"/>
    <w:rsid w:val="00574170"/>
    <w:rsid w:val="00574420"/>
    <w:rsid w:val="00575ED0"/>
    <w:rsid w:val="00576D83"/>
    <w:rsid w:val="00577621"/>
    <w:rsid w:val="0058025A"/>
    <w:rsid w:val="005816AC"/>
    <w:rsid w:val="0058268D"/>
    <w:rsid w:val="0058368D"/>
    <w:rsid w:val="00583984"/>
    <w:rsid w:val="00583FF2"/>
    <w:rsid w:val="00585287"/>
    <w:rsid w:val="00586B81"/>
    <w:rsid w:val="00586D95"/>
    <w:rsid w:val="005873E4"/>
    <w:rsid w:val="00587F45"/>
    <w:rsid w:val="0059323C"/>
    <w:rsid w:val="0059391C"/>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5F4D"/>
    <w:rsid w:val="005C6EA5"/>
    <w:rsid w:val="005C7809"/>
    <w:rsid w:val="005D12F9"/>
    <w:rsid w:val="005D1853"/>
    <w:rsid w:val="005D1A0F"/>
    <w:rsid w:val="005D2787"/>
    <w:rsid w:val="005D3511"/>
    <w:rsid w:val="005D717C"/>
    <w:rsid w:val="005D7204"/>
    <w:rsid w:val="005D7C23"/>
    <w:rsid w:val="005E04D0"/>
    <w:rsid w:val="005E05A6"/>
    <w:rsid w:val="005E19B4"/>
    <w:rsid w:val="005E1EE7"/>
    <w:rsid w:val="005E2803"/>
    <w:rsid w:val="005E2BEB"/>
    <w:rsid w:val="005E3C68"/>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549"/>
    <w:rsid w:val="005F4FE7"/>
    <w:rsid w:val="005F5101"/>
    <w:rsid w:val="005F76A4"/>
    <w:rsid w:val="005F7971"/>
    <w:rsid w:val="00600EAD"/>
    <w:rsid w:val="006010B2"/>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D81"/>
    <w:rsid w:val="0062180E"/>
    <w:rsid w:val="0062340D"/>
    <w:rsid w:val="00623FDF"/>
    <w:rsid w:val="0062416F"/>
    <w:rsid w:val="00624E83"/>
    <w:rsid w:val="006252F1"/>
    <w:rsid w:val="006258FC"/>
    <w:rsid w:val="0062606D"/>
    <w:rsid w:val="006261CB"/>
    <w:rsid w:val="0062624E"/>
    <w:rsid w:val="00630AAF"/>
    <w:rsid w:val="006312FE"/>
    <w:rsid w:val="0063190E"/>
    <w:rsid w:val="00631E58"/>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5CF"/>
    <w:rsid w:val="00643CD3"/>
    <w:rsid w:val="006445E9"/>
    <w:rsid w:val="00644C82"/>
    <w:rsid w:val="0064505F"/>
    <w:rsid w:val="00650B89"/>
    <w:rsid w:val="006523AD"/>
    <w:rsid w:val="006523C6"/>
    <w:rsid w:val="0065251A"/>
    <w:rsid w:val="00652BD8"/>
    <w:rsid w:val="006551F3"/>
    <w:rsid w:val="00655E22"/>
    <w:rsid w:val="00656812"/>
    <w:rsid w:val="0065711D"/>
    <w:rsid w:val="0065744C"/>
    <w:rsid w:val="006606E2"/>
    <w:rsid w:val="00665702"/>
    <w:rsid w:val="006677A5"/>
    <w:rsid w:val="00667EAC"/>
    <w:rsid w:val="006713F8"/>
    <w:rsid w:val="0067184D"/>
    <w:rsid w:val="0067240C"/>
    <w:rsid w:val="006724D8"/>
    <w:rsid w:val="0067269C"/>
    <w:rsid w:val="006731A0"/>
    <w:rsid w:val="00673963"/>
    <w:rsid w:val="00673CFF"/>
    <w:rsid w:val="00674355"/>
    <w:rsid w:val="006744D9"/>
    <w:rsid w:val="006758D1"/>
    <w:rsid w:val="00675A67"/>
    <w:rsid w:val="00675FE2"/>
    <w:rsid w:val="0067642D"/>
    <w:rsid w:val="006771D9"/>
    <w:rsid w:val="00677DA1"/>
    <w:rsid w:val="00683F7E"/>
    <w:rsid w:val="006843AF"/>
    <w:rsid w:val="006859A6"/>
    <w:rsid w:val="00686AB1"/>
    <w:rsid w:val="00686C73"/>
    <w:rsid w:val="0069074E"/>
    <w:rsid w:val="00690ECD"/>
    <w:rsid w:val="006913F1"/>
    <w:rsid w:val="0069257A"/>
    <w:rsid w:val="006937D5"/>
    <w:rsid w:val="0069399C"/>
    <w:rsid w:val="00693B21"/>
    <w:rsid w:val="006947F0"/>
    <w:rsid w:val="00694B07"/>
    <w:rsid w:val="00694BAD"/>
    <w:rsid w:val="00695D19"/>
    <w:rsid w:val="00696D35"/>
    <w:rsid w:val="00697217"/>
    <w:rsid w:val="0069757C"/>
    <w:rsid w:val="006A0FC3"/>
    <w:rsid w:val="006A16FF"/>
    <w:rsid w:val="006A2312"/>
    <w:rsid w:val="006A2474"/>
    <w:rsid w:val="006A28BE"/>
    <w:rsid w:val="006A2ED4"/>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2020"/>
    <w:rsid w:val="006D3D0F"/>
    <w:rsid w:val="006D4A70"/>
    <w:rsid w:val="006D54CC"/>
    <w:rsid w:val="006D7134"/>
    <w:rsid w:val="006D7813"/>
    <w:rsid w:val="006D7BD9"/>
    <w:rsid w:val="006E1B28"/>
    <w:rsid w:val="006E249F"/>
    <w:rsid w:val="006E27C5"/>
    <w:rsid w:val="006E30BB"/>
    <w:rsid w:val="006E3112"/>
    <w:rsid w:val="006E4356"/>
    <w:rsid w:val="006E46D0"/>
    <w:rsid w:val="006E6FE5"/>
    <w:rsid w:val="006E778F"/>
    <w:rsid w:val="006E7859"/>
    <w:rsid w:val="006F0ACE"/>
    <w:rsid w:val="006F1573"/>
    <w:rsid w:val="006F1F48"/>
    <w:rsid w:val="006F322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4120"/>
    <w:rsid w:val="007047D6"/>
    <w:rsid w:val="00704A83"/>
    <w:rsid w:val="00704ABF"/>
    <w:rsid w:val="00705161"/>
    <w:rsid w:val="0070558F"/>
    <w:rsid w:val="00705EB8"/>
    <w:rsid w:val="00706076"/>
    <w:rsid w:val="00706CEE"/>
    <w:rsid w:val="00707981"/>
    <w:rsid w:val="00707A97"/>
    <w:rsid w:val="007108D8"/>
    <w:rsid w:val="007113BE"/>
    <w:rsid w:val="0071157E"/>
    <w:rsid w:val="00711F11"/>
    <w:rsid w:val="00712B7E"/>
    <w:rsid w:val="00712CBA"/>
    <w:rsid w:val="00715F13"/>
    <w:rsid w:val="00716001"/>
    <w:rsid w:val="00717421"/>
    <w:rsid w:val="00721399"/>
    <w:rsid w:val="0072166E"/>
    <w:rsid w:val="00721679"/>
    <w:rsid w:val="00721D85"/>
    <w:rsid w:val="007225D7"/>
    <w:rsid w:val="00723562"/>
    <w:rsid w:val="007236F8"/>
    <w:rsid w:val="0072477F"/>
    <w:rsid w:val="007255B7"/>
    <w:rsid w:val="0072664F"/>
    <w:rsid w:val="00727071"/>
    <w:rsid w:val="00727242"/>
    <w:rsid w:val="00731D02"/>
    <w:rsid w:val="0073334B"/>
    <w:rsid w:val="0073413D"/>
    <w:rsid w:val="0073419D"/>
    <w:rsid w:val="00737096"/>
    <w:rsid w:val="0073715A"/>
    <w:rsid w:val="0074249E"/>
    <w:rsid w:val="00742990"/>
    <w:rsid w:val="0074320E"/>
    <w:rsid w:val="007444C0"/>
    <w:rsid w:val="00744B8C"/>
    <w:rsid w:val="007452CF"/>
    <w:rsid w:val="0074697D"/>
    <w:rsid w:val="00746F72"/>
    <w:rsid w:val="007477C9"/>
    <w:rsid w:val="007500E4"/>
    <w:rsid w:val="00751CF0"/>
    <w:rsid w:val="00752A7D"/>
    <w:rsid w:val="00753A6B"/>
    <w:rsid w:val="00754D7D"/>
    <w:rsid w:val="007550B4"/>
    <w:rsid w:val="00757096"/>
    <w:rsid w:val="00757F25"/>
    <w:rsid w:val="007601B6"/>
    <w:rsid w:val="0076167E"/>
    <w:rsid w:val="007620EB"/>
    <w:rsid w:val="0076227C"/>
    <w:rsid w:val="00762588"/>
    <w:rsid w:val="0076433C"/>
    <w:rsid w:val="0076609A"/>
    <w:rsid w:val="007663F2"/>
    <w:rsid w:val="00770C66"/>
    <w:rsid w:val="007719DB"/>
    <w:rsid w:val="00772F91"/>
    <w:rsid w:val="0077333A"/>
    <w:rsid w:val="00773968"/>
    <w:rsid w:val="007739A8"/>
    <w:rsid w:val="00773AFC"/>
    <w:rsid w:val="00773F65"/>
    <w:rsid w:val="0077434B"/>
    <w:rsid w:val="007747B8"/>
    <w:rsid w:val="007754EA"/>
    <w:rsid w:val="007771C3"/>
    <w:rsid w:val="0077781E"/>
    <w:rsid w:val="00777E61"/>
    <w:rsid w:val="007810F2"/>
    <w:rsid w:val="007813A4"/>
    <w:rsid w:val="007823BD"/>
    <w:rsid w:val="00782785"/>
    <w:rsid w:val="007846F4"/>
    <w:rsid w:val="007850F8"/>
    <w:rsid w:val="00786A8F"/>
    <w:rsid w:val="00790FEC"/>
    <w:rsid w:val="00791761"/>
    <w:rsid w:val="00791CC0"/>
    <w:rsid w:val="007933AC"/>
    <w:rsid w:val="007942B9"/>
    <w:rsid w:val="0079485D"/>
    <w:rsid w:val="007951C7"/>
    <w:rsid w:val="00795625"/>
    <w:rsid w:val="00796FBD"/>
    <w:rsid w:val="0079758B"/>
    <w:rsid w:val="007A065B"/>
    <w:rsid w:val="007A0BD1"/>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1173"/>
    <w:rsid w:val="007C118E"/>
    <w:rsid w:val="007C18C2"/>
    <w:rsid w:val="007C2EFF"/>
    <w:rsid w:val="007C3016"/>
    <w:rsid w:val="007C4E56"/>
    <w:rsid w:val="007C54FC"/>
    <w:rsid w:val="007C599A"/>
    <w:rsid w:val="007C5A4E"/>
    <w:rsid w:val="007C6E00"/>
    <w:rsid w:val="007C72A8"/>
    <w:rsid w:val="007C7837"/>
    <w:rsid w:val="007D2289"/>
    <w:rsid w:val="007D2899"/>
    <w:rsid w:val="007D2CD1"/>
    <w:rsid w:val="007D47CD"/>
    <w:rsid w:val="007D6CE6"/>
    <w:rsid w:val="007E1193"/>
    <w:rsid w:val="007E1275"/>
    <w:rsid w:val="007E211F"/>
    <w:rsid w:val="007E2178"/>
    <w:rsid w:val="007E32D9"/>
    <w:rsid w:val="007E3565"/>
    <w:rsid w:val="007E57E8"/>
    <w:rsid w:val="007E5B8D"/>
    <w:rsid w:val="007E67F4"/>
    <w:rsid w:val="007E74E4"/>
    <w:rsid w:val="007F0B26"/>
    <w:rsid w:val="007F1496"/>
    <w:rsid w:val="007F275A"/>
    <w:rsid w:val="007F51CC"/>
    <w:rsid w:val="007F5F94"/>
    <w:rsid w:val="007F7987"/>
    <w:rsid w:val="007F7A0E"/>
    <w:rsid w:val="008000EE"/>
    <w:rsid w:val="00800130"/>
    <w:rsid w:val="0080055A"/>
    <w:rsid w:val="008017C0"/>
    <w:rsid w:val="00801901"/>
    <w:rsid w:val="00801D20"/>
    <w:rsid w:val="00801D46"/>
    <w:rsid w:val="00803BB2"/>
    <w:rsid w:val="00804830"/>
    <w:rsid w:val="00805702"/>
    <w:rsid w:val="0080631C"/>
    <w:rsid w:val="00806522"/>
    <w:rsid w:val="00806D18"/>
    <w:rsid w:val="008070E2"/>
    <w:rsid w:val="0080737A"/>
    <w:rsid w:val="008077EA"/>
    <w:rsid w:val="00807B5C"/>
    <w:rsid w:val="00810344"/>
    <w:rsid w:val="008125C7"/>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76A"/>
    <w:rsid w:val="008238B8"/>
    <w:rsid w:val="0082472F"/>
    <w:rsid w:val="00824D2A"/>
    <w:rsid w:val="00825B8F"/>
    <w:rsid w:val="008261E8"/>
    <w:rsid w:val="00827F68"/>
    <w:rsid w:val="008310D9"/>
    <w:rsid w:val="008318A3"/>
    <w:rsid w:val="0083247C"/>
    <w:rsid w:val="0083463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5A8B"/>
    <w:rsid w:val="00867151"/>
    <w:rsid w:val="0086772C"/>
    <w:rsid w:val="00870EAF"/>
    <w:rsid w:val="00871CE9"/>
    <w:rsid w:val="00872994"/>
    <w:rsid w:val="00873DAC"/>
    <w:rsid w:val="00874DFD"/>
    <w:rsid w:val="00875013"/>
    <w:rsid w:val="0087541C"/>
    <w:rsid w:val="008760A4"/>
    <w:rsid w:val="008772BE"/>
    <w:rsid w:val="00880F6C"/>
    <w:rsid w:val="00881166"/>
    <w:rsid w:val="00881D0A"/>
    <w:rsid w:val="00882151"/>
    <w:rsid w:val="00882BAB"/>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466D"/>
    <w:rsid w:val="008951A8"/>
    <w:rsid w:val="008968D7"/>
    <w:rsid w:val="00896DB2"/>
    <w:rsid w:val="00896EB8"/>
    <w:rsid w:val="008A0E21"/>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7629"/>
    <w:rsid w:val="008C7F01"/>
    <w:rsid w:val="008D05D9"/>
    <w:rsid w:val="008D0DFF"/>
    <w:rsid w:val="008D207A"/>
    <w:rsid w:val="008D23C6"/>
    <w:rsid w:val="008D3567"/>
    <w:rsid w:val="008D3952"/>
    <w:rsid w:val="008D3AAB"/>
    <w:rsid w:val="008D3CA0"/>
    <w:rsid w:val="008D3F73"/>
    <w:rsid w:val="008D59F7"/>
    <w:rsid w:val="008D5A2D"/>
    <w:rsid w:val="008D7109"/>
    <w:rsid w:val="008E0739"/>
    <w:rsid w:val="008E1130"/>
    <w:rsid w:val="008E2080"/>
    <w:rsid w:val="008E2C29"/>
    <w:rsid w:val="008E3533"/>
    <w:rsid w:val="008E44C5"/>
    <w:rsid w:val="008E742E"/>
    <w:rsid w:val="008F009E"/>
    <w:rsid w:val="008F05D8"/>
    <w:rsid w:val="008F06EB"/>
    <w:rsid w:val="008F088C"/>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7ED"/>
    <w:rsid w:val="0090797F"/>
    <w:rsid w:val="00907CFC"/>
    <w:rsid w:val="00911040"/>
    <w:rsid w:val="00912095"/>
    <w:rsid w:val="00912569"/>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6EC6"/>
    <w:rsid w:val="00927DB4"/>
    <w:rsid w:val="0093022F"/>
    <w:rsid w:val="00930579"/>
    <w:rsid w:val="009307BC"/>
    <w:rsid w:val="0093144C"/>
    <w:rsid w:val="009314C8"/>
    <w:rsid w:val="0093196F"/>
    <w:rsid w:val="009339EC"/>
    <w:rsid w:val="009340B4"/>
    <w:rsid w:val="00935285"/>
    <w:rsid w:val="009355B9"/>
    <w:rsid w:val="00936241"/>
    <w:rsid w:val="00936A90"/>
    <w:rsid w:val="0093763B"/>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192B"/>
    <w:rsid w:val="009526C6"/>
    <w:rsid w:val="009536E5"/>
    <w:rsid w:val="00953893"/>
    <w:rsid w:val="00953EA9"/>
    <w:rsid w:val="00954F65"/>
    <w:rsid w:val="0095630B"/>
    <w:rsid w:val="00956A61"/>
    <w:rsid w:val="00956EAC"/>
    <w:rsid w:val="00956EBB"/>
    <w:rsid w:val="00960B59"/>
    <w:rsid w:val="00960BC2"/>
    <w:rsid w:val="00960C08"/>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3219"/>
    <w:rsid w:val="00974B5A"/>
    <w:rsid w:val="00975224"/>
    <w:rsid w:val="00975898"/>
    <w:rsid w:val="00975FB6"/>
    <w:rsid w:val="009769C3"/>
    <w:rsid w:val="00976DAF"/>
    <w:rsid w:val="00977569"/>
    <w:rsid w:val="00980BA9"/>
    <w:rsid w:val="00980BE4"/>
    <w:rsid w:val="00980BF8"/>
    <w:rsid w:val="009818F6"/>
    <w:rsid w:val="0098211B"/>
    <w:rsid w:val="0098323E"/>
    <w:rsid w:val="009833C7"/>
    <w:rsid w:val="009833FD"/>
    <w:rsid w:val="00983671"/>
    <w:rsid w:val="00983C60"/>
    <w:rsid w:val="00983EAA"/>
    <w:rsid w:val="00985041"/>
    <w:rsid w:val="009855F3"/>
    <w:rsid w:val="00985A99"/>
    <w:rsid w:val="009860C0"/>
    <w:rsid w:val="009863C3"/>
    <w:rsid w:val="0098654C"/>
    <w:rsid w:val="009865A6"/>
    <w:rsid w:val="0098680C"/>
    <w:rsid w:val="00986FE0"/>
    <w:rsid w:val="0098716E"/>
    <w:rsid w:val="00987DA6"/>
    <w:rsid w:val="00990B18"/>
    <w:rsid w:val="00991607"/>
    <w:rsid w:val="00991E15"/>
    <w:rsid w:val="00992913"/>
    <w:rsid w:val="00992EE5"/>
    <w:rsid w:val="00993E0F"/>
    <w:rsid w:val="0099731F"/>
    <w:rsid w:val="0099797E"/>
    <w:rsid w:val="009A0750"/>
    <w:rsid w:val="009A3970"/>
    <w:rsid w:val="009A3C45"/>
    <w:rsid w:val="009A4651"/>
    <w:rsid w:val="009A49A2"/>
    <w:rsid w:val="009A4D02"/>
    <w:rsid w:val="009A7566"/>
    <w:rsid w:val="009B0165"/>
    <w:rsid w:val="009B08CA"/>
    <w:rsid w:val="009B15FC"/>
    <w:rsid w:val="009B17EC"/>
    <w:rsid w:val="009B2851"/>
    <w:rsid w:val="009B2DD8"/>
    <w:rsid w:val="009B45EB"/>
    <w:rsid w:val="009B4B74"/>
    <w:rsid w:val="009B7262"/>
    <w:rsid w:val="009B73DC"/>
    <w:rsid w:val="009C04FC"/>
    <w:rsid w:val="009C22CD"/>
    <w:rsid w:val="009C2D78"/>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20D6"/>
    <w:rsid w:val="009E2636"/>
    <w:rsid w:val="009E27F4"/>
    <w:rsid w:val="009E429A"/>
    <w:rsid w:val="009E42CF"/>
    <w:rsid w:val="009E43A5"/>
    <w:rsid w:val="009E48F6"/>
    <w:rsid w:val="009E4C74"/>
    <w:rsid w:val="009E5FE9"/>
    <w:rsid w:val="009F1E72"/>
    <w:rsid w:val="009F230A"/>
    <w:rsid w:val="009F4335"/>
    <w:rsid w:val="009F475D"/>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61EC"/>
    <w:rsid w:val="00A0685D"/>
    <w:rsid w:val="00A0728D"/>
    <w:rsid w:val="00A10771"/>
    <w:rsid w:val="00A10D63"/>
    <w:rsid w:val="00A13382"/>
    <w:rsid w:val="00A13CF6"/>
    <w:rsid w:val="00A13D4D"/>
    <w:rsid w:val="00A14118"/>
    <w:rsid w:val="00A14E3E"/>
    <w:rsid w:val="00A15A19"/>
    <w:rsid w:val="00A15FFD"/>
    <w:rsid w:val="00A16647"/>
    <w:rsid w:val="00A16AE1"/>
    <w:rsid w:val="00A179C1"/>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1BF2"/>
    <w:rsid w:val="00A61E45"/>
    <w:rsid w:val="00A6267D"/>
    <w:rsid w:val="00A632B9"/>
    <w:rsid w:val="00A63319"/>
    <w:rsid w:val="00A63EAA"/>
    <w:rsid w:val="00A65A23"/>
    <w:rsid w:val="00A66AFB"/>
    <w:rsid w:val="00A66C74"/>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64F1"/>
    <w:rsid w:val="00A811E8"/>
    <w:rsid w:val="00A8176A"/>
    <w:rsid w:val="00A81C4E"/>
    <w:rsid w:val="00A81C69"/>
    <w:rsid w:val="00A81FF7"/>
    <w:rsid w:val="00A828C9"/>
    <w:rsid w:val="00A82CA9"/>
    <w:rsid w:val="00A82F3F"/>
    <w:rsid w:val="00A83401"/>
    <w:rsid w:val="00A834BF"/>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A27"/>
    <w:rsid w:val="00AA3476"/>
    <w:rsid w:val="00AA397D"/>
    <w:rsid w:val="00AA490F"/>
    <w:rsid w:val="00AA4CA3"/>
    <w:rsid w:val="00AA4DBE"/>
    <w:rsid w:val="00AA539D"/>
    <w:rsid w:val="00AA5550"/>
    <w:rsid w:val="00AA5603"/>
    <w:rsid w:val="00AB19DD"/>
    <w:rsid w:val="00AB1AAE"/>
    <w:rsid w:val="00AB21F9"/>
    <w:rsid w:val="00AB2C2E"/>
    <w:rsid w:val="00AB3909"/>
    <w:rsid w:val="00AB393C"/>
    <w:rsid w:val="00AB4143"/>
    <w:rsid w:val="00AB488E"/>
    <w:rsid w:val="00AB4A58"/>
    <w:rsid w:val="00AB617A"/>
    <w:rsid w:val="00AB6943"/>
    <w:rsid w:val="00AC1807"/>
    <w:rsid w:val="00AC1D9E"/>
    <w:rsid w:val="00AC243C"/>
    <w:rsid w:val="00AC540F"/>
    <w:rsid w:val="00AC5532"/>
    <w:rsid w:val="00AC58B4"/>
    <w:rsid w:val="00AC5BDB"/>
    <w:rsid w:val="00AC6C3A"/>
    <w:rsid w:val="00AC7012"/>
    <w:rsid w:val="00AC7471"/>
    <w:rsid w:val="00AC7E61"/>
    <w:rsid w:val="00AD032F"/>
    <w:rsid w:val="00AD2DF4"/>
    <w:rsid w:val="00AD3125"/>
    <w:rsid w:val="00AD4BB3"/>
    <w:rsid w:val="00AD4F75"/>
    <w:rsid w:val="00AD555B"/>
    <w:rsid w:val="00AD693F"/>
    <w:rsid w:val="00AE0D65"/>
    <w:rsid w:val="00AE0EDD"/>
    <w:rsid w:val="00AE104B"/>
    <w:rsid w:val="00AE14D5"/>
    <w:rsid w:val="00AE16A0"/>
    <w:rsid w:val="00AE18D3"/>
    <w:rsid w:val="00AE193F"/>
    <w:rsid w:val="00AE1BFE"/>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ECA"/>
    <w:rsid w:val="00B2267D"/>
    <w:rsid w:val="00B22E28"/>
    <w:rsid w:val="00B23059"/>
    <w:rsid w:val="00B23BFE"/>
    <w:rsid w:val="00B2595B"/>
    <w:rsid w:val="00B25B31"/>
    <w:rsid w:val="00B25D53"/>
    <w:rsid w:val="00B25F49"/>
    <w:rsid w:val="00B274E7"/>
    <w:rsid w:val="00B276BA"/>
    <w:rsid w:val="00B27991"/>
    <w:rsid w:val="00B27D77"/>
    <w:rsid w:val="00B3136E"/>
    <w:rsid w:val="00B313A4"/>
    <w:rsid w:val="00B32368"/>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0F9B"/>
    <w:rsid w:val="00B61C7E"/>
    <w:rsid w:val="00B61F6F"/>
    <w:rsid w:val="00B63934"/>
    <w:rsid w:val="00B64F9D"/>
    <w:rsid w:val="00B65AC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DFD"/>
    <w:rsid w:val="00BA3436"/>
    <w:rsid w:val="00BA34C9"/>
    <w:rsid w:val="00BA3F15"/>
    <w:rsid w:val="00BA5D55"/>
    <w:rsid w:val="00BA6295"/>
    <w:rsid w:val="00BA687D"/>
    <w:rsid w:val="00BA6EFD"/>
    <w:rsid w:val="00BB03B5"/>
    <w:rsid w:val="00BB073C"/>
    <w:rsid w:val="00BB09C2"/>
    <w:rsid w:val="00BB0E3E"/>
    <w:rsid w:val="00BB1770"/>
    <w:rsid w:val="00BB1E35"/>
    <w:rsid w:val="00BB27D6"/>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10E4"/>
    <w:rsid w:val="00BD113A"/>
    <w:rsid w:val="00BD154F"/>
    <w:rsid w:val="00BD33E3"/>
    <w:rsid w:val="00BD4727"/>
    <w:rsid w:val="00BD5377"/>
    <w:rsid w:val="00BD54ED"/>
    <w:rsid w:val="00BD5737"/>
    <w:rsid w:val="00BD5AF5"/>
    <w:rsid w:val="00BD5C2D"/>
    <w:rsid w:val="00BE175F"/>
    <w:rsid w:val="00BE2082"/>
    <w:rsid w:val="00BE22CC"/>
    <w:rsid w:val="00BE22E0"/>
    <w:rsid w:val="00BE3383"/>
    <w:rsid w:val="00BE3F08"/>
    <w:rsid w:val="00BE4958"/>
    <w:rsid w:val="00BE4B1B"/>
    <w:rsid w:val="00BE4DB0"/>
    <w:rsid w:val="00BE7BB5"/>
    <w:rsid w:val="00BF0A47"/>
    <w:rsid w:val="00BF117A"/>
    <w:rsid w:val="00BF3A02"/>
    <w:rsid w:val="00BF40A8"/>
    <w:rsid w:val="00BF49E1"/>
    <w:rsid w:val="00BF69EA"/>
    <w:rsid w:val="00BF6D33"/>
    <w:rsid w:val="00BF747F"/>
    <w:rsid w:val="00C00F79"/>
    <w:rsid w:val="00C01B14"/>
    <w:rsid w:val="00C021AE"/>
    <w:rsid w:val="00C036B6"/>
    <w:rsid w:val="00C046A0"/>
    <w:rsid w:val="00C04709"/>
    <w:rsid w:val="00C04A67"/>
    <w:rsid w:val="00C07FC4"/>
    <w:rsid w:val="00C11D7B"/>
    <w:rsid w:val="00C12625"/>
    <w:rsid w:val="00C141EB"/>
    <w:rsid w:val="00C14BAC"/>
    <w:rsid w:val="00C15058"/>
    <w:rsid w:val="00C15413"/>
    <w:rsid w:val="00C15D84"/>
    <w:rsid w:val="00C175A7"/>
    <w:rsid w:val="00C175EC"/>
    <w:rsid w:val="00C205E5"/>
    <w:rsid w:val="00C20D53"/>
    <w:rsid w:val="00C21180"/>
    <w:rsid w:val="00C2185A"/>
    <w:rsid w:val="00C221C5"/>
    <w:rsid w:val="00C226F3"/>
    <w:rsid w:val="00C23E40"/>
    <w:rsid w:val="00C24DDB"/>
    <w:rsid w:val="00C260C6"/>
    <w:rsid w:val="00C26CA1"/>
    <w:rsid w:val="00C27465"/>
    <w:rsid w:val="00C27668"/>
    <w:rsid w:val="00C278D5"/>
    <w:rsid w:val="00C27F21"/>
    <w:rsid w:val="00C31031"/>
    <w:rsid w:val="00C3226D"/>
    <w:rsid w:val="00C32323"/>
    <w:rsid w:val="00C332D0"/>
    <w:rsid w:val="00C3370A"/>
    <w:rsid w:val="00C3463A"/>
    <w:rsid w:val="00C346C4"/>
    <w:rsid w:val="00C35CD2"/>
    <w:rsid w:val="00C37693"/>
    <w:rsid w:val="00C3796D"/>
    <w:rsid w:val="00C42DA4"/>
    <w:rsid w:val="00C42FFC"/>
    <w:rsid w:val="00C4302C"/>
    <w:rsid w:val="00C431E3"/>
    <w:rsid w:val="00C432F5"/>
    <w:rsid w:val="00C43598"/>
    <w:rsid w:val="00C44FE4"/>
    <w:rsid w:val="00C47419"/>
    <w:rsid w:val="00C517EC"/>
    <w:rsid w:val="00C51B95"/>
    <w:rsid w:val="00C52110"/>
    <w:rsid w:val="00C52CCA"/>
    <w:rsid w:val="00C541D2"/>
    <w:rsid w:val="00C56370"/>
    <w:rsid w:val="00C56960"/>
    <w:rsid w:val="00C571F6"/>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21B0"/>
    <w:rsid w:val="00C72B33"/>
    <w:rsid w:val="00C732DA"/>
    <w:rsid w:val="00C73543"/>
    <w:rsid w:val="00C7377E"/>
    <w:rsid w:val="00C74772"/>
    <w:rsid w:val="00C747CA"/>
    <w:rsid w:val="00C74B29"/>
    <w:rsid w:val="00C757C6"/>
    <w:rsid w:val="00C75A09"/>
    <w:rsid w:val="00C75B10"/>
    <w:rsid w:val="00C76A00"/>
    <w:rsid w:val="00C81037"/>
    <w:rsid w:val="00C82D0D"/>
    <w:rsid w:val="00C83527"/>
    <w:rsid w:val="00C843D8"/>
    <w:rsid w:val="00C84A92"/>
    <w:rsid w:val="00C85ED1"/>
    <w:rsid w:val="00C86F09"/>
    <w:rsid w:val="00C87527"/>
    <w:rsid w:val="00C8782D"/>
    <w:rsid w:val="00C908F3"/>
    <w:rsid w:val="00C90A9A"/>
    <w:rsid w:val="00C90BBD"/>
    <w:rsid w:val="00C90F7E"/>
    <w:rsid w:val="00C917DF"/>
    <w:rsid w:val="00C9278A"/>
    <w:rsid w:val="00C936DC"/>
    <w:rsid w:val="00C93E4C"/>
    <w:rsid w:val="00C94E77"/>
    <w:rsid w:val="00C95B50"/>
    <w:rsid w:val="00C96481"/>
    <w:rsid w:val="00C9695D"/>
    <w:rsid w:val="00CA09C2"/>
    <w:rsid w:val="00CA259B"/>
    <w:rsid w:val="00CA3369"/>
    <w:rsid w:val="00CA3F59"/>
    <w:rsid w:val="00CA406D"/>
    <w:rsid w:val="00CA4672"/>
    <w:rsid w:val="00CA505E"/>
    <w:rsid w:val="00CA519A"/>
    <w:rsid w:val="00CA5289"/>
    <w:rsid w:val="00CA5709"/>
    <w:rsid w:val="00CA6A11"/>
    <w:rsid w:val="00CA7AC9"/>
    <w:rsid w:val="00CB0772"/>
    <w:rsid w:val="00CB0A68"/>
    <w:rsid w:val="00CB0F18"/>
    <w:rsid w:val="00CB1732"/>
    <w:rsid w:val="00CB1E40"/>
    <w:rsid w:val="00CB2AC8"/>
    <w:rsid w:val="00CB32F7"/>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6037"/>
    <w:rsid w:val="00CC63D5"/>
    <w:rsid w:val="00CC6A47"/>
    <w:rsid w:val="00CC72C8"/>
    <w:rsid w:val="00CD0B68"/>
    <w:rsid w:val="00CD0C1B"/>
    <w:rsid w:val="00CD0EF0"/>
    <w:rsid w:val="00CD2764"/>
    <w:rsid w:val="00CD2AF4"/>
    <w:rsid w:val="00CD3343"/>
    <w:rsid w:val="00CD353F"/>
    <w:rsid w:val="00CD3D03"/>
    <w:rsid w:val="00CD4D4E"/>
    <w:rsid w:val="00CD5BE1"/>
    <w:rsid w:val="00CD6617"/>
    <w:rsid w:val="00CD6660"/>
    <w:rsid w:val="00CD67F1"/>
    <w:rsid w:val="00CD7394"/>
    <w:rsid w:val="00CE092B"/>
    <w:rsid w:val="00CE1BCB"/>
    <w:rsid w:val="00CE1C3F"/>
    <w:rsid w:val="00CE2B85"/>
    <w:rsid w:val="00CE3AA7"/>
    <w:rsid w:val="00CE59DF"/>
    <w:rsid w:val="00CE6105"/>
    <w:rsid w:val="00CE7474"/>
    <w:rsid w:val="00CE76F4"/>
    <w:rsid w:val="00CF010A"/>
    <w:rsid w:val="00CF0D80"/>
    <w:rsid w:val="00CF18B0"/>
    <w:rsid w:val="00CF1EA4"/>
    <w:rsid w:val="00CF2845"/>
    <w:rsid w:val="00CF285C"/>
    <w:rsid w:val="00CF285D"/>
    <w:rsid w:val="00CF31CC"/>
    <w:rsid w:val="00CF4067"/>
    <w:rsid w:val="00CF53F3"/>
    <w:rsid w:val="00CF5FDE"/>
    <w:rsid w:val="00CF65B9"/>
    <w:rsid w:val="00CF6603"/>
    <w:rsid w:val="00CF69C5"/>
    <w:rsid w:val="00CF7D73"/>
    <w:rsid w:val="00D004D9"/>
    <w:rsid w:val="00D03248"/>
    <w:rsid w:val="00D03913"/>
    <w:rsid w:val="00D046DF"/>
    <w:rsid w:val="00D0586D"/>
    <w:rsid w:val="00D05E2F"/>
    <w:rsid w:val="00D05F7C"/>
    <w:rsid w:val="00D07FB0"/>
    <w:rsid w:val="00D100AB"/>
    <w:rsid w:val="00D10B67"/>
    <w:rsid w:val="00D1153D"/>
    <w:rsid w:val="00D11BFE"/>
    <w:rsid w:val="00D124F4"/>
    <w:rsid w:val="00D1270F"/>
    <w:rsid w:val="00D132B1"/>
    <w:rsid w:val="00D13FC2"/>
    <w:rsid w:val="00D1499B"/>
    <w:rsid w:val="00D14C4B"/>
    <w:rsid w:val="00D15807"/>
    <w:rsid w:val="00D16526"/>
    <w:rsid w:val="00D17CAE"/>
    <w:rsid w:val="00D200D5"/>
    <w:rsid w:val="00D205FA"/>
    <w:rsid w:val="00D20AC1"/>
    <w:rsid w:val="00D21232"/>
    <w:rsid w:val="00D21CA2"/>
    <w:rsid w:val="00D21D17"/>
    <w:rsid w:val="00D22E7A"/>
    <w:rsid w:val="00D26312"/>
    <w:rsid w:val="00D26419"/>
    <w:rsid w:val="00D273DE"/>
    <w:rsid w:val="00D31226"/>
    <w:rsid w:val="00D31FEA"/>
    <w:rsid w:val="00D3265C"/>
    <w:rsid w:val="00D32F25"/>
    <w:rsid w:val="00D33802"/>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3479"/>
    <w:rsid w:val="00D65150"/>
    <w:rsid w:val="00D6534E"/>
    <w:rsid w:val="00D65603"/>
    <w:rsid w:val="00D658AE"/>
    <w:rsid w:val="00D658D6"/>
    <w:rsid w:val="00D66558"/>
    <w:rsid w:val="00D6664A"/>
    <w:rsid w:val="00D717A6"/>
    <w:rsid w:val="00D73006"/>
    <w:rsid w:val="00D7361F"/>
    <w:rsid w:val="00D744C7"/>
    <w:rsid w:val="00D74AC4"/>
    <w:rsid w:val="00D750FB"/>
    <w:rsid w:val="00D75151"/>
    <w:rsid w:val="00D77839"/>
    <w:rsid w:val="00D7798A"/>
    <w:rsid w:val="00D80E7F"/>
    <w:rsid w:val="00D80E9D"/>
    <w:rsid w:val="00D81484"/>
    <w:rsid w:val="00D8201F"/>
    <w:rsid w:val="00D82627"/>
    <w:rsid w:val="00D82889"/>
    <w:rsid w:val="00D82BD9"/>
    <w:rsid w:val="00D82D41"/>
    <w:rsid w:val="00D8324C"/>
    <w:rsid w:val="00D83FDD"/>
    <w:rsid w:val="00D84977"/>
    <w:rsid w:val="00D8584A"/>
    <w:rsid w:val="00D85CD8"/>
    <w:rsid w:val="00D8720A"/>
    <w:rsid w:val="00D873C3"/>
    <w:rsid w:val="00D90931"/>
    <w:rsid w:val="00D91130"/>
    <w:rsid w:val="00D9152D"/>
    <w:rsid w:val="00D91DB5"/>
    <w:rsid w:val="00D93592"/>
    <w:rsid w:val="00D93A6E"/>
    <w:rsid w:val="00D9422C"/>
    <w:rsid w:val="00D9497B"/>
    <w:rsid w:val="00D95116"/>
    <w:rsid w:val="00D9626E"/>
    <w:rsid w:val="00DA0797"/>
    <w:rsid w:val="00DA0EA4"/>
    <w:rsid w:val="00DA0EF4"/>
    <w:rsid w:val="00DA193B"/>
    <w:rsid w:val="00DA1C0B"/>
    <w:rsid w:val="00DA27A7"/>
    <w:rsid w:val="00DA3137"/>
    <w:rsid w:val="00DA3629"/>
    <w:rsid w:val="00DA37BB"/>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6670"/>
    <w:rsid w:val="00DC6EFB"/>
    <w:rsid w:val="00DC743A"/>
    <w:rsid w:val="00DC7A31"/>
    <w:rsid w:val="00DD0195"/>
    <w:rsid w:val="00DD335A"/>
    <w:rsid w:val="00DD48D9"/>
    <w:rsid w:val="00DD779D"/>
    <w:rsid w:val="00DD7F58"/>
    <w:rsid w:val="00DE06AD"/>
    <w:rsid w:val="00DE0857"/>
    <w:rsid w:val="00DE13D5"/>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9C3"/>
    <w:rsid w:val="00DF7C4C"/>
    <w:rsid w:val="00DF7EB3"/>
    <w:rsid w:val="00E01B92"/>
    <w:rsid w:val="00E02049"/>
    <w:rsid w:val="00E02DFC"/>
    <w:rsid w:val="00E035A8"/>
    <w:rsid w:val="00E03CCB"/>
    <w:rsid w:val="00E03E6C"/>
    <w:rsid w:val="00E045FA"/>
    <w:rsid w:val="00E04AA5"/>
    <w:rsid w:val="00E0573F"/>
    <w:rsid w:val="00E05F25"/>
    <w:rsid w:val="00E068F1"/>
    <w:rsid w:val="00E070DE"/>
    <w:rsid w:val="00E075F2"/>
    <w:rsid w:val="00E10636"/>
    <w:rsid w:val="00E10A17"/>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CB9"/>
    <w:rsid w:val="00E33DE2"/>
    <w:rsid w:val="00E343BD"/>
    <w:rsid w:val="00E35A26"/>
    <w:rsid w:val="00E36B2F"/>
    <w:rsid w:val="00E377D8"/>
    <w:rsid w:val="00E408DB"/>
    <w:rsid w:val="00E40900"/>
    <w:rsid w:val="00E419F2"/>
    <w:rsid w:val="00E423DD"/>
    <w:rsid w:val="00E4357B"/>
    <w:rsid w:val="00E43707"/>
    <w:rsid w:val="00E44342"/>
    <w:rsid w:val="00E4441F"/>
    <w:rsid w:val="00E44EE4"/>
    <w:rsid w:val="00E4542B"/>
    <w:rsid w:val="00E502C3"/>
    <w:rsid w:val="00E50C8F"/>
    <w:rsid w:val="00E50CF3"/>
    <w:rsid w:val="00E517C8"/>
    <w:rsid w:val="00E532E4"/>
    <w:rsid w:val="00E53C5E"/>
    <w:rsid w:val="00E5448C"/>
    <w:rsid w:val="00E5470D"/>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FC1"/>
    <w:rsid w:val="00E72C3C"/>
    <w:rsid w:val="00E7418B"/>
    <w:rsid w:val="00E742B9"/>
    <w:rsid w:val="00E74A7C"/>
    <w:rsid w:val="00E7535E"/>
    <w:rsid w:val="00E75EBB"/>
    <w:rsid w:val="00E7685E"/>
    <w:rsid w:val="00E8023E"/>
    <w:rsid w:val="00E80295"/>
    <w:rsid w:val="00E80A67"/>
    <w:rsid w:val="00E81602"/>
    <w:rsid w:val="00E81CCA"/>
    <w:rsid w:val="00E81E01"/>
    <w:rsid w:val="00E82948"/>
    <w:rsid w:val="00E82DC2"/>
    <w:rsid w:val="00E83311"/>
    <w:rsid w:val="00E8344A"/>
    <w:rsid w:val="00E83905"/>
    <w:rsid w:val="00E83C5F"/>
    <w:rsid w:val="00E848F3"/>
    <w:rsid w:val="00E851AB"/>
    <w:rsid w:val="00E854FB"/>
    <w:rsid w:val="00E85D98"/>
    <w:rsid w:val="00E866EA"/>
    <w:rsid w:val="00E86AB0"/>
    <w:rsid w:val="00E86AE1"/>
    <w:rsid w:val="00E909C5"/>
    <w:rsid w:val="00E90A7C"/>
    <w:rsid w:val="00E90CBC"/>
    <w:rsid w:val="00E912E6"/>
    <w:rsid w:val="00E916B8"/>
    <w:rsid w:val="00E92AD0"/>
    <w:rsid w:val="00E92FE3"/>
    <w:rsid w:val="00E94E5C"/>
    <w:rsid w:val="00E95093"/>
    <w:rsid w:val="00E95EBF"/>
    <w:rsid w:val="00E96A09"/>
    <w:rsid w:val="00E974EB"/>
    <w:rsid w:val="00E978BC"/>
    <w:rsid w:val="00EA06F1"/>
    <w:rsid w:val="00EA1781"/>
    <w:rsid w:val="00EA22B3"/>
    <w:rsid w:val="00EA4A7A"/>
    <w:rsid w:val="00EA544B"/>
    <w:rsid w:val="00EA6358"/>
    <w:rsid w:val="00EA6788"/>
    <w:rsid w:val="00EA6E0C"/>
    <w:rsid w:val="00EA769D"/>
    <w:rsid w:val="00EB073A"/>
    <w:rsid w:val="00EB1B3C"/>
    <w:rsid w:val="00EB21F4"/>
    <w:rsid w:val="00EB33EC"/>
    <w:rsid w:val="00EB3778"/>
    <w:rsid w:val="00EB394F"/>
    <w:rsid w:val="00EB3C09"/>
    <w:rsid w:val="00EB420B"/>
    <w:rsid w:val="00EB43BD"/>
    <w:rsid w:val="00EB5C05"/>
    <w:rsid w:val="00EB668F"/>
    <w:rsid w:val="00EB6EEC"/>
    <w:rsid w:val="00EB793A"/>
    <w:rsid w:val="00EC0C2B"/>
    <w:rsid w:val="00EC1777"/>
    <w:rsid w:val="00EC2383"/>
    <w:rsid w:val="00EC28AB"/>
    <w:rsid w:val="00EC3E19"/>
    <w:rsid w:val="00EC4B14"/>
    <w:rsid w:val="00EC5024"/>
    <w:rsid w:val="00EC5BCB"/>
    <w:rsid w:val="00EC7302"/>
    <w:rsid w:val="00EC73C4"/>
    <w:rsid w:val="00EC797C"/>
    <w:rsid w:val="00ED0CC3"/>
    <w:rsid w:val="00ED33CC"/>
    <w:rsid w:val="00ED444D"/>
    <w:rsid w:val="00ED5874"/>
    <w:rsid w:val="00ED5C02"/>
    <w:rsid w:val="00ED67BD"/>
    <w:rsid w:val="00EE076E"/>
    <w:rsid w:val="00EE07FF"/>
    <w:rsid w:val="00EE0950"/>
    <w:rsid w:val="00EE1502"/>
    <w:rsid w:val="00EE249C"/>
    <w:rsid w:val="00EE38E7"/>
    <w:rsid w:val="00EE5452"/>
    <w:rsid w:val="00EE6981"/>
    <w:rsid w:val="00EE7EFC"/>
    <w:rsid w:val="00EF155D"/>
    <w:rsid w:val="00EF366C"/>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921"/>
    <w:rsid w:val="00F12617"/>
    <w:rsid w:val="00F12E37"/>
    <w:rsid w:val="00F12FCC"/>
    <w:rsid w:val="00F1313D"/>
    <w:rsid w:val="00F138D8"/>
    <w:rsid w:val="00F14195"/>
    <w:rsid w:val="00F1436C"/>
    <w:rsid w:val="00F1468E"/>
    <w:rsid w:val="00F15511"/>
    <w:rsid w:val="00F1596A"/>
    <w:rsid w:val="00F160DF"/>
    <w:rsid w:val="00F177E3"/>
    <w:rsid w:val="00F20C2B"/>
    <w:rsid w:val="00F21135"/>
    <w:rsid w:val="00F21864"/>
    <w:rsid w:val="00F22A04"/>
    <w:rsid w:val="00F23424"/>
    <w:rsid w:val="00F247E6"/>
    <w:rsid w:val="00F25D7C"/>
    <w:rsid w:val="00F25E63"/>
    <w:rsid w:val="00F265D0"/>
    <w:rsid w:val="00F26F6A"/>
    <w:rsid w:val="00F27241"/>
    <w:rsid w:val="00F27468"/>
    <w:rsid w:val="00F302B9"/>
    <w:rsid w:val="00F30B07"/>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5965"/>
    <w:rsid w:val="00F47E15"/>
    <w:rsid w:val="00F50F32"/>
    <w:rsid w:val="00F5110D"/>
    <w:rsid w:val="00F51233"/>
    <w:rsid w:val="00F5187D"/>
    <w:rsid w:val="00F52796"/>
    <w:rsid w:val="00F52EA7"/>
    <w:rsid w:val="00F53A5A"/>
    <w:rsid w:val="00F550AE"/>
    <w:rsid w:val="00F553CD"/>
    <w:rsid w:val="00F55F6C"/>
    <w:rsid w:val="00F56228"/>
    <w:rsid w:val="00F577C7"/>
    <w:rsid w:val="00F57822"/>
    <w:rsid w:val="00F60331"/>
    <w:rsid w:val="00F609D9"/>
    <w:rsid w:val="00F62B53"/>
    <w:rsid w:val="00F62CBF"/>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965"/>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6560"/>
    <w:rsid w:val="00FB6CE4"/>
    <w:rsid w:val="00FB75B5"/>
    <w:rsid w:val="00FB7E90"/>
    <w:rsid w:val="00FC069F"/>
    <w:rsid w:val="00FC13BC"/>
    <w:rsid w:val="00FC1614"/>
    <w:rsid w:val="00FC1696"/>
    <w:rsid w:val="00FC3A96"/>
    <w:rsid w:val="00FC502D"/>
    <w:rsid w:val="00FC5AA5"/>
    <w:rsid w:val="00FC6354"/>
    <w:rsid w:val="00FC6995"/>
    <w:rsid w:val="00FC7244"/>
    <w:rsid w:val="00FD0152"/>
    <w:rsid w:val="00FD09D0"/>
    <w:rsid w:val="00FD0AAD"/>
    <w:rsid w:val="00FD33DB"/>
    <w:rsid w:val="00FD5200"/>
    <w:rsid w:val="00FD52B3"/>
    <w:rsid w:val="00FD5C90"/>
    <w:rsid w:val="00FD6525"/>
    <w:rsid w:val="00FD6938"/>
    <w:rsid w:val="00FD77B8"/>
    <w:rsid w:val="00FE130E"/>
    <w:rsid w:val="00FE2DB8"/>
    <w:rsid w:val="00FE2E74"/>
    <w:rsid w:val="00FE2E7B"/>
    <w:rsid w:val="00FE2FB8"/>
    <w:rsid w:val="00FE40E7"/>
    <w:rsid w:val="00FE4E88"/>
    <w:rsid w:val="00FE510C"/>
    <w:rsid w:val="00FE5D31"/>
    <w:rsid w:val="00FE69C5"/>
    <w:rsid w:val="00FE79E2"/>
    <w:rsid w:val="00FF0DAF"/>
    <w:rsid w:val="00FF0DE5"/>
    <w:rsid w:val="00FF357A"/>
    <w:rsid w:val="00FF37B3"/>
    <w:rsid w:val="00FF4BEE"/>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6D3FA0"/>
  <w15:chartTrackingRefBased/>
  <w15:docId w15:val="{0756F4D0-E543-4E81-9594-48AB2A383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131325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936DDAC4-6617-49FE-83A2-F19D76104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261</TotalTime>
  <Pages>2</Pages>
  <Words>861</Words>
  <Characters>4912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Papaleo, Marco</cp:lastModifiedBy>
  <cp:revision>15</cp:revision>
  <cp:lastPrinted>2015-07-29T14:23:00Z</cp:lastPrinted>
  <dcterms:created xsi:type="dcterms:W3CDTF">2015-08-04T14:13:00Z</dcterms:created>
  <dcterms:modified xsi:type="dcterms:W3CDTF">2015-08-17T15:21:00Z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1341014737</vt:i4>
  </property>
  <property fmtid="{D5CDD505-2E9C-101B-9397-08002B2CF9AE}" pid="11" name="_EmailSubject">
    <vt:lpwstr>LAA docs for RAN#74 </vt:lpwstr>
  </property>
  <property fmtid="{D5CDD505-2E9C-101B-9397-08002B2CF9AE}" pid="12" name="_AuthorEmail">
    <vt:lpwstr>heechoon@qti.qualcomm.com</vt:lpwstr>
  </property>
  <property fmtid="{D5CDD505-2E9C-101B-9397-08002B2CF9AE}" pid="13" name="_AuthorEmailDisplayName">
    <vt:lpwstr>Lee, Heechoon</vt:lpwstr>
  </property>
  <property fmtid="{D5CDD505-2E9C-101B-9397-08002B2CF9AE}" pid="14" name="_PreviousAdHocReviewCycleID">
    <vt:i4>-311102391</vt:i4>
  </property>
  <property fmtid="{D5CDD505-2E9C-101B-9397-08002B2CF9AE}" pid="15" name="_ReviewingToolsShownOnce">
    <vt:lpwstr/>
  </property>
</Properties>
</file>